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w:t>
      </w:r>
      <w:r>
        <w:rPr>
          <w:b/>
          <w:bCs/>
          <w:color w:val="170000"/>
          <w:sz w:val="32"/>
        </w:rPr>
        <w:t>MGLWL202</w:t>
      </w:r>
      <w:r>
        <w:rPr>
          <w:rFonts w:hint="eastAsia"/>
          <w:b/>
          <w:bCs/>
          <w:color w:val="170000"/>
          <w:sz w:val="32"/>
          <w:lang w:val="en-US" w:eastAsia="zh-CN"/>
        </w:rPr>
        <w:t>2</w:t>
      </w:r>
      <w:r>
        <w:rPr>
          <w:b/>
          <w:bCs/>
          <w:color w:val="170000"/>
          <w:sz w:val="32"/>
        </w:rPr>
        <w:t>0</w:t>
      </w:r>
      <w:r>
        <w:rPr>
          <w:rFonts w:hint="eastAsia"/>
          <w:b/>
          <w:bCs/>
          <w:color w:val="170000"/>
          <w:sz w:val="32"/>
          <w:lang w:val="en-US" w:eastAsia="zh-CN"/>
        </w:rPr>
        <w:t>71501</w:t>
      </w:r>
      <w:r>
        <w:rPr>
          <w:rFonts w:hint="eastAsia"/>
          <w:b/>
          <w:bCs/>
          <w:color w:val="170000"/>
          <w:sz w:val="32"/>
        </w:rPr>
        <w:t>）</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荣盛盟固利新能源科技有限公司</w:t>
      </w:r>
    </w:p>
    <w:p>
      <w:pPr>
        <w:spacing w:line="600" w:lineRule="exact"/>
        <w:jc w:val="center"/>
        <w:rPr>
          <w:sz w:val="28"/>
        </w:rPr>
        <w:sectPr>
          <w:headerReference r:id="rId4" w:type="first"/>
          <w:headerReference r:id="rId3" w:type="default"/>
          <w:footerReference r:id="rId5" w:type="default"/>
          <w:pgSz w:w="11906" w:h="16838"/>
          <w:pgMar w:top="624" w:right="851" w:bottom="964" w:left="1418" w:header="851" w:footer="992" w:gutter="0"/>
          <w:pgNumType w:start="1"/>
          <w:cols w:space="720" w:num="1"/>
          <w:docGrid w:type="lines" w:linePitch="312" w:charSpace="0"/>
        </w:sectPr>
      </w:pPr>
      <w:r>
        <w:rPr>
          <w:rFonts w:hint="eastAsia"/>
          <w:sz w:val="36"/>
          <w:szCs w:val="36"/>
        </w:rPr>
        <w:t>202</w:t>
      </w:r>
      <w:r>
        <w:rPr>
          <w:rFonts w:hint="eastAsia"/>
          <w:sz w:val="36"/>
          <w:szCs w:val="36"/>
          <w:lang w:val="en-US" w:eastAsia="zh-CN"/>
        </w:rPr>
        <w:t>2</w:t>
      </w:r>
      <w:r>
        <w:rPr>
          <w:rFonts w:hint="eastAsia"/>
          <w:sz w:val="36"/>
          <w:szCs w:val="36"/>
        </w:rPr>
        <w:t>年</w:t>
      </w:r>
      <w:r>
        <w:rPr>
          <w:rFonts w:hint="eastAsia"/>
          <w:sz w:val="36"/>
          <w:szCs w:val="36"/>
          <w:lang w:val="en-US" w:eastAsia="zh-CN"/>
        </w:rPr>
        <w:t>7</w:t>
      </w:r>
      <w:r>
        <w:rPr>
          <w:rFonts w:hint="eastAsia"/>
          <w:sz w:val="36"/>
          <w:szCs w:val="36"/>
        </w:rPr>
        <w:t>月</w:t>
      </w:r>
      <w:r>
        <w:rPr>
          <w:rFonts w:hint="eastAsia"/>
          <w:sz w:val="28"/>
        </w:rPr>
        <w:t xml:space="preserve"> </w:t>
      </w:r>
    </w:p>
    <w:p>
      <w:pPr>
        <w:pStyle w:val="31"/>
      </w:pPr>
      <w:r>
        <w:rPr>
          <w:lang w:val="zh-CN"/>
        </w:rPr>
        <w:t>目录</w:t>
      </w:r>
    </w:p>
    <w:p>
      <w:pPr>
        <w:pStyle w:val="17"/>
        <w:tabs>
          <w:tab w:val="right" w:leader="dot" w:pos="8296"/>
        </w:tabs>
        <w:rPr>
          <w:rFonts w:ascii="Calibri" w:hAnsi="Calibri" w:cs="黑体"/>
          <w:b/>
          <w:bCs/>
          <w:color w:val="0000FF"/>
          <w:sz w:val="24"/>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"_Toc509413672" </w:instrText>
      </w:r>
      <w:r>
        <w:fldChar w:fldCharType="separate"/>
      </w:r>
      <w:r>
        <w:rPr>
          <w:rStyle w:val="27"/>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"_Toc509413673" </w:instrText>
      </w:r>
      <w:r>
        <w:fldChar w:fldCharType="separate"/>
      </w:r>
      <w:r>
        <w:rPr>
          <w:rStyle w:val="27"/>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Style w:val="27"/>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7"/>
          <w:b/>
          <w:bCs/>
          <w:sz w:val="24"/>
        </w:rPr>
        <w:t xml:space="preserve">第二章 </w:t>
      </w:r>
      <w:r>
        <w:fldChar w:fldCharType="begin"/>
      </w:r>
      <w:r>
        <w:instrText xml:space="preserve"> HYPERLINK \l "_Toc28249" </w:instrText>
      </w:r>
      <w:r>
        <w:fldChar w:fldCharType="separate"/>
      </w:r>
      <w:r>
        <w:rPr>
          <w:rFonts w:hint="eastAsia"/>
          <w:b/>
          <w:bCs/>
          <w:color w:val="0000FF"/>
          <w:szCs w:val="28"/>
        </w:rPr>
        <w:t>投标格式文件</w:t>
      </w:r>
      <w:r>
        <w:rPr>
          <w:b/>
          <w:bCs/>
          <w:color w:val="0000FF"/>
        </w:rPr>
        <w:tab/>
      </w:r>
      <w:r>
        <w:rPr>
          <w:b/>
          <w:bCs/>
          <w:color w:val="0000FF"/>
        </w:rP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7"/>
          <w:rFonts w:hint="eastAsia"/>
          <w:b/>
          <w:bCs/>
          <w:sz w:val="24"/>
        </w:rPr>
        <w:t xml:space="preserve">第三章 </w:t>
      </w:r>
      <w:r>
        <w:rPr>
          <w:rStyle w:val="27"/>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"_Toc509413675" </w:instrText>
      </w:r>
      <w:r>
        <w:fldChar w:fldCharType="separate"/>
      </w:r>
      <w:r>
        <w:rPr>
          <w:rStyle w:val="27"/>
          <w:b/>
          <w:bCs/>
          <w:kern w:val="44"/>
          <w:sz w:val="24"/>
        </w:rPr>
        <w:t>第</w:t>
      </w:r>
      <w:r>
        <w:rPr>
          <w:rStyle w:val="27"/>
          <w:rFonts w:hint="eastAsia"/>
          <w:b/>
          <w:bCs/>
          <w:kern w:val="44"/>
          <w:sz w:val="24"/>
        </w:rPr>
        <w:t>四</w:t>
      </w:r>
      <w:r>
        <w:rPr>
          <w:rStyle w:val="27"/>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sz w:val="24"/>
        </w:rPr>
      </w:pPr>
      <w:r>
        <w:fldChar w:fldCharType="begin"/>
      </w:r>
      <w:r>
        <w:instrText xml:space="preserve"> HYPERLINK \l "_Toc509413676" </w:instrText>
      </w:r>
      <w:r>
        <w:fldChar w:fldCharType="separate"/>
      </w:r>
      <w:r>
        <w:rPr>
          <w:rStyle w:val="27"/>
          <w:b/>
          <w:bCs/>
          <w:kern w:val="44"/>
          <w:sz w:val="24"/>
        </w:rPr>
        <w:t>第</w:t>
      </w:r>
      <w:r>
        <w:rPr>
          <w:rStyle w:val="27"/>
          <w:rFonts w:hint="eastAsia"/>
          <w:b/>
          <w:bCs/>
          <w:kern w:val="44"/>
          <w:sz w:val="24"/>
        </w:rPr>
        <w:t>五</w:t>
      </w:r>
      <w:r>
        <w:rPr>
          <w:rStyle w:val="27"/>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rPr>
        <w:t>9</w:t>
      </w:r>
      <w:r>
        <w:rPr>
          <w:b/>
          <w:bCs/>
          <w:color w:val="0000FF"/>
          <w:sz w:val="24"/>
        </w:rPr>
        <w:t>-</w:t>
      </w:r>
      <w:r>
        <w:rPr>
          <w:b/>
          <w:bCs/>
          <w:color w:val="0000FF"/>
          <w:sz w:val="24"/>
        </w:rPr>
        <w:fldChar w:fldCharType="end"/>
      </w:r>
      <w:r>
        <w:rPr>
          <w:b/>
          <w:bCs/>
          <w:color w:val="0000FF"/>
          <w:sz w:val="24"/>
        </w:rPr>
        <w:fldChar w:fldCharType="end"/>
      </w:r>
    </w:p>
    <w:p>
      <w:pPr>
        <w:rPr>
          <w:sz w:val="24"/>
        </w:rPr>
      </w:pPr>
      <w:r>
        <w:rPr>
          <w:b/>
          <w:bCs/>
          <w:sz w:val="24"/>
          <w:lang w:val="zh-CN"/>
        </w:rPr>
        <w:fldChar w:fldCharType="end"/>
      </w:r>
    </w:p>
    <w:p>
      <w:pPr>
        <w:widowControl/>
        <w:jc w:val="left"/>
      </w:pPr>
    </w:p>
    <w:p>
      <w:pPr>
        <w:widowControl/>
        <w:jc w:val="left"/>
        <w:rPr>
          <w:rStyle w:val="36"/>
          <w:sz w:val="28"/>
          <w:szCs w:val="28"/>
        </w:rPr>
      </w:pPr>
    </w:p>
    <w:p>
      <w:pPr>
        <w:widowControl/>
        <w:jc w:val="left"/>
        <w:rPr>
          <w:rStyle w:val="36"/>
          <w:sz w:val="28"/>
          <w:szCs w:val="28"/>
        </w:rPr>
      </w:pPr>
      <w:r>
        <w:rPr>
          <w:rStyle w:val="36"/>
          <w:sz w:val="28"/>
          <w:szCs w:val="28"/>
        </w:rPr>
        <w:br w:type="page"/>
      </w:r>
    </w:p>
    <w:p>
      <w:pPr>
        <w:overflowPunct w:val="0"/>
        <w:spacing w:line="360" w:lineRule="auto"/>
        <w:jc w:val="center"/>
        <w:outlineLvl w:val="0"/>
        <w:rPr>
          <w:rFonts w:ascii="宋体" w:hAnsi="宋体"/>
          <w:b/>
          <w:sz w:val="36"/>
          <w:szCs w:val="36"/>
        </w:rPr>
      </w:pPr>
      <w:bookmarkStart w:id="0" w:name="_Toc509413672"/>
      <w:bookmarkStart w:id="1" w:name="_Toc509411470"/>
      <w:bookmarkStart w:id="2" w:name="_Toc508467345"/>
      <w:bookmarkStart w:id="3" w:name="_Toc509411550"/>
      <w:r>
        <w:rPr>
          <w:rStyle w:val="36"/>
          <w:rFonts w:hint="eastAsia"/>
          <w:sz w:val="28"/>
          <w:szCs w:val="28"/>
        </w:rPr>
        <w:t>摘　要</w:t>
      </w:r>
      <w:bookmarkEnd w:id="0"/>
      <w:bookmarkEnd w:id="1"/>
      <w:bookmarkEnd w:id="2"/>
      <w:bookmarkEnd w:id="3"/>
    </w:p>
    <w:tbl>
      <w:tblPr>
        <w:tblStyle w:val="24"/>
        <w:tblW w:w="8160" w:type="dxa"/>
        <w:tblInd w:w="-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69"/>
        <w:gridCol w:w="2138"/>
        <w:gridCol w:w="53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trPr>
        <w:tc>
          <w:tcPr>
            <w:tcW w:w="669" w:type="dxa"/>
            <w:vAlign w:val="center"/>
          </w:tcPr>
          <w:p>
            <w:pPr>
              <w:overflowPunct w:val="0"/>
              <w:jc w:val="center"/>
              <w:rPr>
                <w:rFonts w:ascii="宋体" w:hAnsi="宋体"/>
                <w:sz w:val="24"/>
              </w:rPr>
            </w:pPr>
            <w:r>
              <w:rPr>
                <w:rFonts w:hint="eastAsia" w:ascii="宋体" w:hAnsi="宋体"/>
                <w:sz w:val="24"/>
              </w:rPr>
              <w:t>项号</w:t>
            </w:r>
          </w:p>
        </w:tc>
        <w:tc>
          <w:tcPr>
            <w:tcW w:w="2138" w:type="dxa"/>
            <w:vAlign w:val="center"/>
          </w:tcPr>
          <w:p>
            <w:pPr>
              <w:overflowPunct w:val="0"/>
              <w:jc w:val="center"/>
              <w:rPr>
                <w:rFonts w:ascii="宋体" w:hAnsi="宋体"/>
                <w:sz w:val="24"/>
              </w:rPr>
            </w:pPr>
            <w:r>
              <w:rPr>
                <w:rFonts w:hint="eastAsia" w:ascii="宋体" w:hAnsi="宋体"/>
                <w:sz w:val="24"/>
              </w:rPr>
              <w:t>主题</w:t>
            </w:r>
          </w:p>
        </w:tc>
        <w:tc>
          <w:tcPr>
            <w:tcW w:w="5353"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138" w:type="dxa"/>
            <w:vAlign w:val="center"/>
          </w:tcPr>
          <w:p>
            <w:pPr>
              <w:overflowPunct w:val="0"/>
              <w:spacing w:line="340" w:lineRule="exact"/>
              <w:rPr>
                <w:rFonts w:ascii="宋体" w:hAnsi="宋体"/>
                <w:szCs w:val="21"/>
              </w:rPr>
            </w:pPr>
            <w:r>
              <w:rPr>
                <w:rFonts w:hint="eastAsia" w:ascii="宋体" w:hAnsi="宋体"/>
                <w:szCs w:val="21"/>
              </w:rPr>
              <w:t>招标人</w:t>
            </w:r>
          </w:p>
        </w:tc>
        <w:tc>
          <w:tcPr>
            <w:tcW w:w="5353" w:type="dxa"/>
            <w:vAlign w:val="center"/>
          </w:tcPr>
          <w:p>
            <w:pPr>
              <w:snapToGrid w:val="0"/>
              <w:spacing w:line="340" w:lineRule="exact"/>
              <w:rPr>
                <w:rFonts w:ascii="宋体" w:hAnsi="宋体"/>
                <w:szCs w:val="21"/>
              </w:rPr>
            </w:pPr>
            <w:r>
              <w:rPr>
                <w:rFonts w:hint="eastAsia" w:ascii="宋体" w:hAnsi="宋体"/>
                <w:szCs w:val="21"/>
              </w:rPr>
              <w:t>荣盛盟固利新能源科技有限公司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138" w:type="dxa"/>
            <w:vAlign w:val="center"/>
          </w:tcPr>
          <w:p>
            <w:pPr>
              <w:overflowPunct w:val="0"/>
              <w:spacing w:line="340" w:lineRule="exact"/>
              <w:rPr>
                <w:rFonts w:ascii="宋体" w:hAnsi="宋体"/>
                <w:color w:val="000000"/>
                <w:szCs w:val="21"/>
              </w:rPr>
            </w:pPr>
            <w:r>
              <w:rPr>
                <w:rFonts w:hint="eastAsia" w:ascii="宋体" w:hAnsi="宋体"/>
                <w:color w:val="000000"/>
                <w:szCs w:val="21"/>
              </w:rPr>
              <w:t>项目招标</w:t>
            </w:r>
            <w:r>
              <w:rPr>
                <w:rFonts w:ascii="宋体" w:hAnsi="宋体"/>
                <w:color w:val="000000"/>
                <w:szCs w:val="21"/>
              </w:rPr>
              <w:t>内容</w:t>
            </w:r>
          </w:p>
        </w:tc>
        <w:tc>
          <w:tcPr>
            <w:tcW w:w="5353" w:type="dxa"/>
            <w:vAlign w:val="center"/>
          </w:tcPr>
          <w:p>
            <w:pPr>
              <w:snapToGrid w:val="0"/>
              <w:spacing w:line="340" w:lineRule="exact"/>
              <w:rPr>
                <w:rFonts w:ascii="宋体" w:hAnsi="宋体"/>
                <w:b/>
                <w:color w:val="000000"/>
                <w:szCs w:val="21"/>
              </w:rPr>
            </w:pPr>
            <w:r>
              <w:rPr>
                <w:rFonts w:hint="eastAsia" w:ascii="宋体" w:hAnsi="宋体"/>
                <w:b/>
                <w:color w:val="000000"/>
                <w:szCs w:val="21"/>
              </w:rPr>
              <w:t>通用项目液冷板招标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6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138" w:type="dxa"/>
            <w:vAlign w:val="center"/>
          </w:tcPr>
          <w:p>
            <w:pPr>
              <w:overflowPunct w:val="0"/>
              <w:spacing w:line="340" w:lineRule="exact"/>
              <w:rPr>
                <w:rFonts w:ascii="宋体" w:hAnsi="宋体"/>
                <w:szCs w:val="21"/>
              </w:rPr>
            </w:pPr>
            <w:r>
              <w:rPr>
                <w:rFonts w:hint="eastAsia" w:ascii="宋体" w:hAnsi="宋体"/>
                <w:szCs w:val="21"/>
              </w:rPr>
              <w:t>总需求数量</w:t>
            </w:r>
          </w:p>
        </w:tc>
        <w:tc>
          <w:tcPr>
            <w:tcW w:w="5353" w:type="dxa"/>
            <w:vAlign w:val="center"/>
          </w:tcPr>
          <w:p>
            <w:pPr>
              <w:overflowPunct w:val="0"/>
              <w:spacing w:line="340" w:lineRule="exact"/>
              <w:rPr>
                <w:rFonts w:ascii="宋体" w:hAnsi="宋体"/>
                <w:b/>
                <w:color w:val="FF0000"/>
                <w:szCs w:val="21"/>
              </w:rPr>
            </w:pPr>
            <w:r>
              <w:rPr>
                <w:rFonts w:hint="eastAsia" w:ascii="宋体" w:hAnsi="宋体"/>
                <w:b/>
                <w:color w:val="FF0000"/>
                <w:szCs w:val="21"/>
              </w:rPr>
              <w:t>202</w:t>
            </w:r>
            <w:r>
              <w:rPr>
                <w:rFonts w:hint="eastAsia" w:ascii="宋体" w:hAnsi="宋体"/>
                <w:b/>
                <w:color w:val="FF0000"/>
                <w:szCs w:val="21"/>
                <w:lang w:val="en-US" w:eastAsia="zh-CN"/>
              </w:rPr>
              <w:t>2</w:t>
            </w:r>
            <w:r>
              <w:rPr>
                <w:rFonts w:hint="eastAsia" w:ascii="宋体" w:hAnsi="宋体"/>
                <w:b/>
                <w:color w:val="FF0000"/>
                <w:szCs w:val="21"/>
              </w:rPr>
              <w:t>年度采购数量：详见附件5报价一览表</w:t>
            </w:r>
          </w:p>
          <w:p>
            <w:pPr>
              <w:overflowPunct w:val="0"/>
              <w:spacing w:line="340" w:lineRule="exact"/>
              <w:rPr>
                <w:rFonts w:ascii="宋体" w:hAnsi="宋体"/>
                <w:b/>
                <w:color w:val="FF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6"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353"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353"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请在投标截止日四天以前，以书面形式向招标人提出，招标人将在投标截止日二天以前，在网上进行公开说明或回答。重复性问题或是超过期限时间提出的疑问，招标人将不保证提供答复或说明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8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353"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9"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353"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w:t>
            </w:r>
            <w:r>
              <w:rPr>
                <w:rFonts w:hint="eastAsia" w:hAnsi="宋体"/>
                <w:b/>
                <w:szCs w:val="21"/>
              </w:rPr>
              <w:t>，其中商务标文件需单独密封再一并邮寄，邮寄时快递包装明显标注</w:t>
            </w:r>
            <w:r>
              <w:rPr>
                <w:rFonts w:hAnsi="宋体"/>
                <w:b/>
                <w:szCs w:val="21"/>
              </w:rPr>
              <w:t>”</w:t>
            </w:r>
            <w:r>
              <w:rPr>
                <w:rFonts w:hint="eastAsia" w:hAnsi="宋体"/>
                <w:b/>
                <w:szCs w:val="21"/>
              </w:rPr>
              <w:t>标书</w:t>
            </w:r>
            <w:r>
              <w:rPr>
                <w:rFonts w:hAnsi="宋体"/>
                <w:b/>
                <w:szCs w:val="21"/>
              </w:rPr>
              <w:t>”</w:t>
            </w:r>
            <w:r>
              <w:rPr>
                <w:rFonts w:hint="eastAsia" w:hAnsi="宋体"/>
                <w:b/>
                <w:szCs w:val="21"/>
              </w:rPr>
              <w:t>字样。要严格按照招标文件规范执行。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2"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353" w:type="dxa"/>
            <w:vAlign w:val="bottom"/>
          </w:tcPr>
          <w:p>
            <w:pPr>
              <w:pStyle w:val="12"/>
              <w:overflowPunct w:val="0"/>
              <w:spacing w:line="340" w:lineRule="exact"/>
              <w:rPr>
                <w:sz w:val="21"/>
                <w:szCs w:val="21"/>
              </w:rPr>
            </w:pPr>
            <w:r>
              <w:rPr>
                <w:sz w:val="21"/>
                <w:szCs w:val="21"/>
              </w:rPr>
              <w:t>投标文件</w:t>
            </w:r>
            <w:r>
              <w:rPr>
                <w:rFonts w:hint="eastAsia"/>
                <w:sz w:val="21"/>
                <w:szCs w:val="21"/>
              </w:rPr>
              <w:t>共一正一副，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96"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9</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投标费用</w:t>
            </w:r>
          </w:p>
        </w:tc>
        <w:tc>
          <w:tcPr>
            <w:tcW w:w="5353" w:type="dxa"/>
            <w:vAlign w:val="bottom"/>
          </w:tcPr>
          <w:p>
            <w:pPr>
              <w:pStyle w:val="12"/>
              <w:overflowPunct w:val="0"/>
              <w:spacing w:line="340" w:lineRule="exact"/>
              <w:rPr>
                <w:bCs/>
                <w:color w:val="FF0000"/>
                <w:sz w:val="21"/>
                <w:szCs w:val="21"/>
              </w:rPr>
            </w:pPr>
            <w:r>
              <w:rPr>
                <w:bCs/>
                <w:color w:val="FF0000"/>
                <w:sz w:val="21"/>
                <w:szCs w:val="21"/>
              </w:rPr>
              <w:t>投标保证金为人民币伍</w:t>
            </w:r>
            <w:r>
              <w:rPr>
                <w:rFonts w:hint="eastAsia"/>
                <w:bCs/>
                <w:color w:val="FF0000"/>
                <w:sz w:val="21"/>
                <w:szCs w:val="21"/>
              </w:rPr>
              <w:t>万</w:t>
            </w:r>
            <w:r>
              <w:rPr>
                <w:bCs/>
                <w:color w:val="FF0000"/>
                <w:sz w:val="21"/>
                <w:szCs w:val="21"/>
              </w:rPr>
              <w:t>元整</w:t>
            </w:r>
          </w:p>
          <w:p>
            <w:pPr>
              <w:overflowPunct w:val="0"/>
              <w:spacing w:line="340" w:lineRule="exact"/>
              <w:rPr>
                <w:rFonts w:ascii="宋体" w:hAnsi="宋体"/>
                <w:bCs/>
                <w:szCs w:val="21"/>
              </w:rPr>
            </w:pPr>
            <w:r>
              <w:rPr>
                <w:rFonts w:hint="eastAsia" w:ascii="宋体" w:hAnsi="宋体"/>
                <w:bCs/>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Ansi="宋体"/>
                <w:bCs/>
                <w:szCs w:val="21"/>
              </w:rPr>
            </w:pPr>
            <w:r>
              <w:rPr>
                <w:rFonts w:hint="eastAsia" w:ascii="宋体" w:hAnsi="宋体"/>
                <w:bCs/>
                <w:szCs w:val="21"/>
              </w:rPr>
              <w:t>上述款项缴</w:t>
            </w:r>
            <w:r>
              <w:rPr>
                <w:rFonts w:ascii="宋体" w:hAnsi="宋体"/>
                <w:bCs/>
                <w:szCs w:val="21"/>
              </w:rPr>
              <w:t>纳</w:t>
            </w:r>
            <w:r>
              <w:rPr>
                <w:rFonts w:hint="eastAsia" w:ascii="宋体" w:hAnsi="宋体"/>
                <w:bCs/>
                <w:szCs w:val="21"/>
              </w:rPr>
              <w:t>账号</w:t>
            </w:r>
            <w:r>
              <w:rPr>
                <w:rFonts w:ascii="宋体" w:hAnsi="宋体"/>
                <w:bCs/>
                <w:szCs w:val="21"/>
              </w:rPr>
              <w:t>：</w:t>
            </w:r>
            <w:r>
              <w:rPr>
                <w:rFonts w:hint="eastAsia" w:ascii="宋体" w:hAnsi="宋体"/>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72"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截标日期</w:t>
            </w:r>
          </w:p>
        </w:tc>
        <w:tc>
          <w:tcPr>
            <w:tcW w:w="5353" w:type="dxa"/>
            <w:vAlign w:val="bottom"/>
          </w:tcPr>
          <w:p>
            <w:pPr>
              <w:overflowPunct w:val="0"/>
              <w:spacing w:line="720" w:lineRule="auto"/>
              <w:jc w:val="left"/>
              <w:rPr>
                <w:rFonts w:ascii="宋体" w:hAnsi="宋体"/>
                <w:bCs/>
                <w:szCs w:val="21"/>
              </w:rPr>
            </w:pPr>
            <w:r>
              <w:rPr>
                <w:rFonts w:hint="eastAsia" w:ascii="宋体" w:hAnsi="宋体"/>
                <w:bCs/>
                <w:szCs w:val="21"/>
              </w:rPr>
              <w:t>202</w:t>
            </w:r>
            <w:r>
              <w:rPr>
                <w:rFonts w:hint="eastAsia" w:ascii="宋体" w:hAnsi="宋体"/>
                <w:bCs/>
                <w:szCs w:val="21"/>
                <w:lang w:val="en-US" w:eastAsia="zh-CN"/>
              </w:rPr>
              <w:t>2</w:t>
            </w:r>
            <w:r>
              <w:rPr>
                <w:rFonts w:hint="eastAsia" w:ascii="宋体" w:hAnsi="宋体"/>
                <w:bCs/>
                <w:szCs w:val="21"/>
              </w:rPr>
              <w:t>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30</w:t>
            </w:r>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开标日期</w:t>
            </w:r>
          </w:p>
        </w:tc>
        <w:tc>
          <w:tcPr>
            <w:tcW w:w="5353" w:type="dxa"/>
            <w:vAlign w:val="center"/>
          </w:tcPr>
          <w:p>
            <w:pPr>
              <w:overflowPunct w:val="0"/>
              <w:rPr>
                <w:rFonts w:ascii="宋体" w:hAnsi="宋体"/>
                <w:bCs/>
                <w:szCs w:val="21"/>
              </w:rPr>
            </w:pPr>
            <w:r>
              <w:rPr>
                <w:rFonts w:hint="eastAsia" w:ascii="宋体" w:hAnsi="宋体"/>
                <w:bCs/>
                <w:szCs w:val="21"/>
              </w:rPr>
              <w:t>202</w:t>
            </w:r>
            <w:r>
              <w:rPr>
                <w:rFonts w:hint="eastAsia" w:ascii="宋体" w:hAnsi="宋体"/>
                <w:bCs/>
                <w:szCs w:val="21"/>
                <w:lang w:val="en-US" w:eastAsia="zh-CN"/>
              </w:rPr>
              <w:t>2</w:t>
            </w:r>
            <w:r>
              <w:rPr>
                <w:rFonts w:hint="eastAsia" w:ascii="宋体" w:hAnsi="宋体"/>
                <w:bCs/>
                <w:szCs w:val="21"/>
              </w:rPr>
              <w:t>年</w:t>
            </w:r>
            <w:r>
              <w:rPr>
                <w:rFonts w:hint="eastAsia" w:ascii="宋体" w:hAnsi="宋体"/>
                <w:bCs/>
                <w:szCs w:val="21"/>
                <w:lang w:val="en-US" w:eastAsia="zh-CN"/>
              </w:rPr>
              <w:t>8</w:t>
            </w:r>
            <w:r>
              <w:rPr>
                <w:rFonts w:hint="eastAsia" w:ascii="宋体" w:hAnsi="宋体"/>
                <w:bCs/>
                <w:szCs w:val="21"/>
              </w:rPr>
              <w:t>月</w:t>
            </w:r>
            <w:r>
              <w:rPr>
                <w:rFonts w:hint="eastAsia" w:ascii="宋体" w:hAnsi="宋体"/>
                <w:bCs/>
                <w:szCs w:val="21"/>
                <w:lang w:val="en-US" w:eastAsia="zh-CN"/>
              </w:rPr>
              <w:t>10</w:t>
            </w:r>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8"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 xml:space="preserve">11                   </w:t>
            </w:r>
          </w:p>
        </w:tc>
        <w:tc>
          <w:tcPr>
            <w:tcW w:w="2138" w:type="dxa"/>
          </w:tcPr>
          <w:p>
            <w:pPr>
              <w:overflowPunct w:val="0"/>
              <w:spacing w:line="340" w:lineRule="exact"/>
              <w:jc w:val="center"/>
              <w:rPr>
                <w:rFonts w:ascii="宋体" w:hAnsi="宋体"/>
                <w:bCs/>
                <w:szCs w:val="21"/>
              </w:rPr>
            </w:pPr>
          </w:p>
          <w:p>
            <w:pPr>
              <w:jc w:val="center"/>
            </w:pPr>
            <w:r>
              <w:rPr>
                <w:rFonts w:hint="eastAsia"/>
              </w:rPr>
              <w:t>说明</w:t>
            </w:r>
          </w:p>
        </w:tc>
        <w:tc>
          <w:tcPr>
            <w:tcW w:w="5353" w:type="dxa"/>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2"/>
              <w:numPr>
                <w:ilvl w:val="0"/>
                <w:numId w:val="0"/>
              </w:numPr>
              <w:spacing w:before="383" w:after="114"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pStyle w:val="32"/>
              <w:numPr>
                <w:ilvl w:val="0"/>
                <w:numId w:val="0"/>
              </w:numPr>
              <w:spacing w:before="383" w:after="114" w:afterLines="30" w:line="440" w:lineRule="exact"/>
              <w:jc w:val="left"/>
              <w:rPr>
                <w:rFonts w:ascii="宋体" w:hAnsi="宋体"/>
                <w:bCs/>
                <w:szCs w:val="21"/>
              </w:rPr>
            </w:pPr>
            <w:r>
              <w:rPr>
                <w:rFonts w:hint="eastAsia" w:ascii="宋体" w:hAnsi="宋体" w:eastAsia="宋体" w:cs="宋体"/>
                <w:b/>
                <w:szCs w:val="21"/>
              </w:rPr>
              <w:t>3.允许拆标进行单独型号投标</w:t>
            </w:r>
            <w:r>
              <w:rPr>
                <w:rFonts w:hint="eastAsia" w:ascii="宋体" w:hAnsi="宋体" w:eastAsia="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07"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12</w:t>
            </w:r>
          </w:p>
        </w:tc>
        <w:tc>
          <w:tcPr>
            <w:tcW w:w="2138" w:type="dxa"/>
          </w:tcPr>
          <w:p>
            <w:pPr>
              <w:overflowPunct w:val="0"/>
              <w:spacing w:line="340" w:lineRule="exact"/>
              <w:jc w:val="center"/>
              <w:rPr>
                <w:rFonts w:ascii="宋体" w:hAnsi="宋体"/>
                <w:bCs/>
                <w:szCs w:val="21"/>
              </w:rPr>
            </w:pPr>
            <w:r>
              <w:rPr>
                <w:rFonts w:hint="eastAsia" w:ascii="宋体" w:hAnsi="宋体" w:cs="宋体"/>
                <w:bCs/>
                <w:kern w:val="0"/>
                <w:szCs w:val="21"/>
              </w:rPr>
              <w:t>招标监督信息</w:t>
            </w:r>
          </w:p>
        </w:tc>
        <w:tc>
          <w:tcPr>
            <w:tcW w:w="5353" w:type="dxa"/>
          </w:tcPr>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 HYPERLINK "mailto:jcsjb@mgldl.com.cn" </w:instrText>
            </w:r>
            <w:r>
              <w:fldChar w:fldCharType="separate"/>
            </w:r>
            <w:r>
              <w:rPr>
                <w:rFonts w:hint="eastAsia" w:ascii="宋体" w:hAnsi="宋体" w:eastAsia="宋体" w:cs="宋体"/>
                <w:szCs w:val="21"/>
              </w:rPr>
              <w:t>jcsjb@mgldl.com.cn</w:t>
            </w:r>
            <w:r>
              <w:rPr>
                <w:rFonts w:hint="eastAsia" w:ascii="宋体" w:hAnsi="宋体" w:eastAsia="宋体" w:cs="宋体"/>
                <w:szCs w:val="21"/>
              </w:rPr>
              <w:fldChar w:fldCharType="end"/>
            </w:r>
            <w:r>
              <w:rPr>
                <w:rFonts w:hint="eastAsia" w:ascii="宋体" w:hAnsi="宋体" w:eastAsia="宋体" w:cs="宋体"/>
                <w:szCs w:val="21"/>
              </w:rPr>
              <w:t xml:space="preserve">   监督QQ：3397311883</w:t>
            </w:r>
          </w:p>
          <w:p>
            <w:pPr>
              <w:pStyle w:val="32"/>
              <w:numPr>
                <w:ilvl w:val="0"/>
                <w:numId w:val="0"/>
              </w:numPr>
              <w:spacing w:before="383" w:after="114" w:afterLines="30"/>
              <w:jc w:val="left"/>
              <w:rPr>
                <w:rFonts w:ascii="宋体" w:hAnsi="宋体"/>
                <w:szCs w:val="21"/>
              </w:rPr>
            </w:pPr>
            <w:r>
              <w:rPr>
                <w:rFonts w:hint="eastAsia" w:ascii="宋体" w:hAnsi="宋体" w:eastAsia="宋体" w:cs="宋体"/>
                <w:szCs w:val="21"/>
              </w:rPr>
              <w:t xml:space="preserve">监督微信：13522897660 </w:t>
            </w:r>
          </w:p>
        </w:tc>
      </w:tr>
    </w:tbl>
    <w:p>
      <w:pPr>
        <w:pStyle w:val="30"/>
        <w:numPr>
          <w:ilvl w:val="0"/>
          <w:numId w:val="2"/>
        </w:numPr>
        <w:overflowPunct w:val="0"/>
        <w:spacing w:line="360" w:lineRule="auto"/>
        <w:ind w:firstLineChars="0"/>
        <w:jc w:val="center"/>
        <w:outlineLvl w:val="0"/>
        <w:rPr>
          <w:rStyle w:val="36"/>
          <w:sz w:val="28"/>
          <w:szCs w:val="28"/>
        </w:rPr>
      </w:pPr>
      <w:r>
        <w:rPr>
          <w:rFonts w:hint="eastAsia"/>
        </w:rPr>
        <w:br w:type="page"/>
      </w:r>
      <w:bookmarkStart w:id="4" w:name="_Toc19073"/>
      <w:bookmarkStart w:id="5" w:name="_Toc509413673"/>
      <w:bookmarkStart w:id="6" w:name="_Toc508467346"/>
      <w:bookmarkStart w:id="7" w:name="_Toc7456"/>
      <w:bookmarkStart w:id="8" w:name="_Toc509411471"/>
      <w:bookmarkStart w:id="9" w:name="_Toc509411551"/>
      <w:r>
        <w:rPr>
          <w:rStyle w:val="36"/>
          <w:rFonts w:hint="eastAsia"/>
          <w:sz w:val="28"/>
          <w:szCs w:val="28"/>
        </w:rPr>
        <w:t>投标须知</w:t>
      </w:r>
      <w:bookmarkEnd w:id="4"/>
      <w:bookmarkEnd w:id="5"/>
      <w:bookmarkEnd w:id="6"/>
      <w:bookmarkEnd w:id="7"/>
      <w:bookmarkEnd w:id="8"/>
      <w:bookmarkEnd w:id="9"/>
    </w:p>
    <w:p>
      <w:pPr>
        <w:overflowPunct w:val="0"/>
        <w:spacing w:line="360" w:lineRule="auto"/>
        <w:outlineLvl w:val="0"/>
        <w:rPr>
          <w:rStyle w:val="36"/>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0" w:name="_Toc8039"/>
      <w:r>
        <w:rPr>
          <w:rFonts w:hint="eastAsia" w:ascii="宋体" w:hAnsi="宋体" w:cs="宋体"/>
          <w:b/>
          <w:sz w:val="24"/>
        </w:rPr>
        <w:t>1. 说明</w:t>
      </w:r>
      <w:bookmarkEnd w:id="10"/>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202</w:t>
      </w:r>
      <w:r>
        <w:rPr>
          <w:rFonts w:hint="eastAsia" w:ascii="宋体" w:hAnsi="宋体" w:cs="宋体"/>
          <w:b/>
          <w:sz w:val="24"/>
          <w:u w:val="single"/>
          <w:lang w:val="en-US" w:eastAsia="zh-CN"/>
        </w:rPr>
        <w:t>2</w:t>
      </w:r>
      <w:r>
        <w:rPr>
          <w:rFonts w:hint="eastAsia" w:ascii="宋体" w:hAnsi="宋体" w:cs="宋体"/>
          <w:b/>
          <w:sz w:val="24"/>
          <w:u w:val="single"/>
        </w:rPr>
        <w:t>年</w:t>
      </w:r>
      <w:r>
        <w:rPr>
          <w:rFonts w:hint="eastAsia" w:ascii="宋体" w:hAnsi="宋体" w:cs="宋体"/>
          <w:b/>
          <w:sz w:val="24"/>
          <w:u w:val="single"/>
          <w:lang w:val="en-US" w:eastAsia="zh-CN"/>
        </w:rPr>
        <w:t>8</w:t>
      </w:r>
      <w:r>
        <w:rPr>
          <w:rFonts w:hint="eastAsia" w:ascii="宋体" w:hAnsi="宋体" w:cs="宋体"/>
          <w:b/>
          <w:sz w:val="24"/>
          <w:u w:val="single"/>
        </w:rPr>
        <w:t>月-202</w:t>
      </w:r>
      <w:r>
        <w:rPr>
          <w:rFonts w:hint="eastAsia" w:ascii="宋体" w:hAnsi="宋体" w:cs="宋体"/>
          <w:b/>
          <w:sz w:val="24"/>
          <w:u w:val="single"/>
          <w:lang w:val="en-US" w:eastAsia="zh-CN"/>
        </w:rPr>
        <w:t>3</w:t>
      </w:r>
      <w:r>
        <w:rPr>
          <w:rFonts w:hint="eastAsia" w:ascii="宋体" w:hAnsi="宋体" w:cs="宋体"/>
          <w:b/>
          <w:sz w:val="24"/>
          <w:u w:val="single"/>
        </w:rPr>
        <w:t>年</w:t>
      </w:r>
      <w:r>
        <w:rPr>
          <w:rFonts w:hint="eastAsia" w:ascii="宋体" w:hAnsi="宋体" w:cs="宋体"/>
          <w:b/>
          <w:sz w:val="24"/>
          <w:u w:val="single"/>
          <w:lang w:val="en-US" w:eastAsia="zh-CN"/>
        </w:rPr>
        <w:t>8</w:t>
      </w:r>
      <w:r>
        <w:rPr>
          <w:rFonts w:hint="eastAsia" w:ascii="宋体" w:hAnsi="宋体" w:cs="宋体"/>
          <w:b/>
          <w:sz w:val="24"/>
          <w:u w:val="single"/>
        </w:rPr>
        <w:t>月</w:t>
      </w:r>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bookmarkStart w:id="73" w:name="_GoBack"/>
      <w:bookmarkEnd w:id="73"/>
      <w:r>
        <w:rPr>
          <w:rFonts w:hint="eastAsia" w:ascii="宋体" w:hAnsi="宋体" w:cs="宋体"/>
          <w:sz w:val="24"/>
        </w:rPr>
        <w:t xml:space="preserve">                                </w:t>
      </w:r>
    </w:p>
    <w:p>
      <w:pPr>
        <w:rPr>
          <w:rFonts w:ascii="宋体" w:hAnsi="宋体" w:cs="宋体"/>
          <w:b/>
          <w:sz w:val="24"/>
        </w:rPr>
      </w:pPr>
      <w:bookmarkStart w:id="11" w:name="_Toc29031"/>
      <w:bookmarkStart w:id="12" w:name="_Toc3393"/>
      <w:r>
        <w:rPr>
          <w:rFonts w:hint="eastAsia" w:ascii="宋体" w:hAnsi="宋体" w:cs="宋体"/>
          <w:b/>
          <w:sz w:val="24"/>
        </w:rPr>
        <w:t>2. 词语释义</w:t>
      </w:r>
      <w:bookmarkEnd w:id="11"/>
      <w:bookmarkEnd w:id="12"/>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3" w:name="_Toc12828"/>
      <w:bookmarkStart w:id="14" w:name="_Toc30720"/>
      <w:r>
        <w:rPr>
          <w:rFonts w:hint="eastAsia" w:ascii="宋体" w:hAnsi="宋体" w:cs="宋体"/>
          <w:b/>
          <w:sz w:val="24"/>
        </w:rPr>
        <w:t>B 投标人</w:t>
      </w:r>
      <w:bookmarkEnd w:id="13"/>
      <w:bookmarkEnd w:id="14"/>
    </w:p>
    <w:p>
      <w:pPr>
        <w:rPr>
          <w:rFonts w:ascii="宋体" w:hAnsi="宋体" w:cs="宋体"/>
          <w:b/>
          <w:sz w:val="24"/>
        </w:rPr>
      </w:pPr>
      <w:bookmarkStart w:id="15" w:name="_Toc27382"/>
      <w:bookmarkStart w:id="16" w:name="_Toc26778"/>
      <w:r>
        <w:rPr>
          <w:rFonts w:hint="eastAsia" w:ascii="宋体" w:hAnsi="宋体" w:cs="宋体"/>
          <w:b/>
          <w:sz w:val="24"/>
        </w:rPr>
        <w:t>3. 合格投标人的条件</w:t>
      </w:r>
      <w:bookmarkEnd w:id="15"/>
      <w:bookmarkEnd w:id="16"/>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17" w:name="_Toc29912"/>
      <w:bookmarkStart w:id="18" w:name="_Toc23308"/>
      <w:r>
        <w:rPr>
          <w:rFonts w:hint="eastAsia" w:ascii="宋体" w:hAnsi="宋体" w:cs="宋体"/>
          <w:b/>
          <w:sz w:val="24"/>
        </w:rPr>
        <w:t>4. 投标人代表</w:t>
      </w:r>
      <w:bookmarkEnd w:id="17"/>
      <w:bookmarkEnd w:id="18"/>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19" w:name="_Toc31186"/>
      <w:bookmarkStart w:id="20" w:name="_Toc681"/>
      <w:r>
        <w:rPr>
          <w:rFonts w:hint="eastAsia" w:ascii="宋体" w:hAnsi="宋体" w:cs="宋体"/>
          <w:b/>
          <w:sz w:val="24"/>
        </w:rPr>
        <w:t>5. 费用</w:t>
      </w:r>
      <w:bookmarkEnd w:id="19"/>
      <w:bookmarkEnd w:id="20"/>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1" w:name="_Toc814"/>
      <w:bookmarkStart w:id="22" w:name="_Toc27626"/>
      <w:r>
        <w:rPr>
          <w:rFonts w:hint="eastAsia" w:ascii="宋体" w:hAnsi="宋体" w:cs="宋体"/>
          <w:b/>
          <w:sz w:val="24"/>
        </w:rPr>
        <w:t>C 招标文件说明</w:t>
      </w:r>
      <w:bookmarkEnd w:id="21"/>
      <w:bookmarkEnd w:id="22"/>
    </w:p>
    <w:p>
      <w:pPr>
        <w:rPr>
          <w:rFonts w:ascii="宋体" w:hAnsi="宋体" w:cs="宋体"/>
          <w:b/>
          <w:sz w:val="24"/>
        </w:rPr>
      </w:pPr>
      <w:bookmarkStart w:id="23" w:name="_Toc14605"/>
      <w:bookmarkStart w:id="24" w:name="_Toc23984"/>
      <w:r>
        <w:rPr>
          <w:rFonts w:hint="eastAsia" w:ascii="宋体" w:hAnsi="宋体" w:cs="宋体"/>
          <w:b/>
          <w:sz w:val="24"/>
        </w:rPr>
        <w:t>6. 招标文件</w:t>
      </w:r>
      <w:bookmarkEnd w:id="23"/>
      <w:bookmarkEnd w:id="24"/>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5" w:name="_Toc27675"/>
      <w:bookmarkStart w:id="26" w:name="_Toc31584"/>
      <w:r>
        <w:rPr>
          <w:rFonts w:hint="eastAsia" w:ascii="宋体" w:hAnsi="宋体" w:cs="宋体"/>
          <w:b/>
          <w:sz w:val="24"/>
        </w:rPr>
        <w:t>7. 对招标文件的澄清</w:t>
      </w:r>
      <w:bookmarkEnd w:id="25"/>
      <w:bookmarkEnd w:id="26"/>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27" w:name="_Toc8693"/>
      <w:bookmarkStart w:id="28" w:name="_Toc10722"/>
      <w:r>
        <w:rPr>
          <w:rFonts w:hint="eastAsia" w:ascii="宋体" w:hAnsi="宋体" w:cs="宋体"/>
          <w:b/>
          <w:sz w:val="24"/>
        </w:rPr>
        <w:t>8. 招标文件的修改</w:t>
      </w:r>
      <w:bookmarkEnd w:id="27"/>
      <w:bookmarkEnd w:id="28"/>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29" w:name="_Toc9695"/>
      <w:bookmarkStart w:id="30" w:name="_Toc27720"/>
      <w:r>
        <w:rPr>
          <w:rFonts w:hint="eastAsia" w:ascii="宋体" w:hAnsi="宋体" w:cs="宋体"/>
          <w:b/>
          <w:sz w:val="24"/>
        </w:rPr>
        <w:t>D投标文件说明</w:t>
      </w:r>
      <w:bookmarkEnd w:id="29"/>
      <w:bookmarkEnd w:id="30"/>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1" w:name="_Toc23579"/>
      <w:bookmarkStart w:id="32" w:name="_Toc9100"/>
      <w:r>
        <w:rPr>
          <w:rFonts w:ascii="Arial" w:hAnsi="Arial" w:cs="Arial"/>
          <w:b/>
          <w:sz w:val="24"/>
        </w:rPr>
        <w:t>＊</w:t>
      </w:r>
      <w:r>
        <w:rPr>
          <w:rFonts w:hint="eastAsia" w:ascii="宋体" w:hAnsi="宋体" w:cs="宋体"/>
          <w:b/>
          <w:sz w:val="24"/>
        </w:rPr>
        <w:t>10. 投标文件计量单位和使用文字</w:t>
      </w:r>
      <w:bookmarkEnd w:id="31"/>
      <w:bookmarkEnd w:id="32"/>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33" w:name="_Toc32010"/>
      <w:bookmarkStart w:id="34" w:name="_Toc10482"/>
      <w:r>
        <w:rPr>
          <w:rFonts w:ascii="Arial" w:hAnsi="Arial" w:cs="Arial"/>
          <w:b/>
          <w:sz w:val="24"/>
        </w:rPr>
        <w:t>＊</w:t>
      </w:r>
      <w:r>
        <w:rPr>
          <w:rFonts w:hint="eastAsia" w:ascii="宋体" w:hAnsi="宋体" w:cs="宋体"/>
          <w:b/>
          <w:sz w:val="24"/>
        </w:rPr>
        <w:t>11. 投标文件的组成</w:t>
      </w:r>
      <w:bookmarkEnd w:id="33"/>
      <w:bookmarkEnd w:id="34"/>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30"/>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30"/>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30"/>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30"/>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lang w:val="en-US" w:eastAsia="zh-CN"/>
        </w:rPr>
        <w:t>0</w:t>
      </w:r>
      <w:r>
        <w:rPr>
          <w:rFonts w:hint="eastAsia" w:ascii="宋体" w:hAnsi="宋体" w:cs="宋体"/>
          <w:color w:val="000000"/>
          <w:sz w:val="24"/>
        </w:rPr>
        <w:t>～2</w:t>
      </w:r>
      <w:r>
        <w:rPr>
          <w:rFonts w:ascii="宋体" w:hAnsi="宋体" w:cs="宋体"/>
          <w:color w:val="000000"/>
          <w:sz w:val="24"/>
        </w:rPr>
        <w:t>0</w:t>
      </w:r>
      <w:r>
        <w:rPr>
          <w:rFonts w:hint="eastAsia" w:ascii="宋体" w:hAnsi="宋体" w:cs="宋体"/>
          <w:color w:val="000000"/>
          <w:sz w:val="24"/>
        </w:rPr>
        <w:t>2</w:t>
      </w:r>
      <w:r>
        <w:rPr>
          <w:rFonts w:hint="eastAsia" w:ascii="宋体" w:hAnsi="宋体" w:cs="宋体"/>
          <w:color w:val="000000"/>
          <w:sz w:val="24"/>
          <w:lang w:val="en-US" w:eastAsia="zh-CN"/>
        </w:rPr>
        <w:t>1</w:t>
      </w:r>
      <w:r>
        <w:rPr>
          <w:rFonts w:hint="eastAsia" w:ascii="宋体" w:hAnsi="宋体" w:cs="宋体"/>
          <w:color w:val="000000"/>
          <w:sz w:val="24"/>
        </w:rPr>
        <w:t>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30"/>
        <w:numPr>
          <w:ilvl w:val="0"/>
          <w:numId w:val="3"/>
        </w:numPr>
        <w:ind w:firstLineChars="0"/>
        <w:rPr>
          <w:rFonts w:ascii="宋体" w:hAnsi="宋体" w:cs="宋体"/>
          <w:color w:val="000000"/>
          <w:sz w:val="24"/>
          <w:u w:val="single"/>
        </w:rPr>
      </w:pPr>
      <w:bookmarkStart w:id="35" w:name="_Toc17069"/>
      <w:bookmarkStart w:id="36" w:name="_Toc4969"/>
      <w:r>
        <w:rPr>
          <w:rFonts w:hint="eastAsia" w:ascii="宋体" w:hAnsi="宋体" w:cs="宋体"/>
          <w:color w:val="000000"/>
          <w:sz w:val="24"/>
          <w:u w:val="single"/>
        </w:rPr>
        <w:t>报价一览表(附件５)；</w:t>
      </w:r>
      <w:bookmarkEnd w:id="35"/>
      <w:bookmarkEnd w:id="36"/>
    </w:p>
    <w:p>
      <w:pPr>
        <w:pStyle w:val="30"/>
        <w:numPr>
          <w:ilvl w:val="0"/>
          <w:numId w:val="3"/>
        </w:numPr>
        <w:ind w:firstLineChars="0"/>
        <w:rPr>
          <w:rFonts w:ascii="宋体" w:hAnsi="宋体" w:cs="宋体"/>
          <w:color w:val="000000"/>
          <w:sz w:val="24"/>
          <w:u w:val="single"/>
        </w:rPr>
      </w:pPr>
      <w:bookmarkStart w:id="37" w:name="_Toc24159"/>
      <w:bookmarkStart w:id="38" w:name="_Toc12091"/>
      <w:r>
        <w:rPr>
          <w:rFonts w:hint="eastAsia" w:ascii="宋体" w:hAnsi="宋体" w:cs="宋体"/>
          <w:color w:val="000000"/>
          <w:sz w:val="24"/>
          <w:u w:val="single"/>
        </w:rPr>
        <w:t>合同条款偏离表</w:t>
      </w:r>
      <w:bookmarkEnd w:id="37"/>
      <w:bookmarkEnd w:id="38"/>
      <w:r>
        <w:rPr>
          <w:rFonts w:hint="eastAsia" w:ascii="宋体" w:hAnsi="宋体" w:cs="宋体"/>
          <w:color w:val="000000"/>
          <w:sz w:val="24"/>
          <w:u w:val="single"/>
        </w:rPr>
        <w:t>（附件７）。</w:t>
      </w:r>
    </w:p>
    <w:p>
      <w:pPr>
        <w:pStyle w:val="30"/>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39" w:name="_Toc23718"/>
      <w:bookmarkStart w:id="40"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30"/>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30"/>
        <w:ind w:firstLine="0" w:firstLineChars="0"/>
        <w:rPr>
          <w:rFonts w:ascii="宋体" w:hAnsi="宋体" w:cs="宋体"/>
          <w:color w:val="000000"/>
          <w:sz w:val="24"/>
          <w:u w:val="single"/>
        </w:rPr>
      </w:pPr>
    </w:p>
    <w:bookmarkEnd w:id="39"/>
    <w:bookmarkEnd w:id="40"/>
    <w:p>
      <w:pPr>
        <w:rPr>
          <w:rFonts w:ascii="宋体" w:hAnsi="宋体" w:cs="宋体"/>
          <w:b/>
          <w:sz w:val="24"/>
        </w:rPr>
      </w:pPr>
      <w:bookmarkStart w:id="41" w:name="_Toc32007"/>
      <w:bookmarkStart w:id="42" w:name="_Toc819"/>
      <w:r>
        <w:rPr>
          <w:rFonts w:hint="eastAsia" w:ascii="宋体" w:hAnsi="宋体" w:cs="宋体"/>
          <w:b/>
          <w:bCs/>
          <w:szCs w:val="21"/>
        </w:rPr>
        <w:t>*</w:t>
      </w:r>
      <w:r>
        <w:rPr>
          <w:rFonts w:hint="eastAsia" w:ascii="宋体" w:hAnsi="宋体" w:cs="宋体"/>
          <w:b/>
          <w:sz w:val="24"/>
        </w:rPr>
        <w:t>14. 投标保证金</w:t>
      </w:r>
      <w:bookmarkEnd w:id="41"/>
      <w:bookmarkEnd w:id="42"/>
    </w:p>
    <w:p>
      <w:pPr>
        <w:rPr>
          <w:rFonts w:ascii="宋体" w:hAnsi="宋体" w:cs="宋体"/>
          <w:sz w:val="24"/>
        </w:rPr>
      </w:pPr>
      <w:r>
        <w:rPr>
          <w:rFonts w:hint="eastAsia" w:ascii="宋体" w:hAnsi="宋体" w:cs="宋体"/>
          <w:sz w:val="24"/>
        </w:rPr>
        <w:t>14.1.投标人投标时应向招标人提交人民币</w:t>
      </w:r>
      <w:r>
        <w:rPr>
          <w:rFonts w:hint="eastAsia" w:ascii="宋体" w:hAnsi="宋体" w:cs="宋体"/>
          <w:b/>
          <w:bCs/>
          <w:color w:val="FF0000"/>
          <w:sz w:val="24"/>
          <w:u w:val="single"/>
        </w:rPr>
        <w:t xml:space="preserve">伍万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3" w:name="_Toc18240"/>
      <w:bookmarkStart w:id="44" w:name="_Toc8079"/>
      <w:r>
        <w:rPr>
          <w:rFonts w:hint="eastAsia" w:ascii="宋体" w:hAnsi="宋体" w:cs="宋体"/>
          <w:sz w:val="24"/>
        </w:rPr>
        <w:t>14.5.3. 投标人在投标过程中有违反有关法律法规行为的；</w:t>
      </w:r>
      <w:bookmarkEnd w:id="43"/>
      <w:bookmarkEnd w:id="44"/>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5" w:name="_Toc19793"/>
      <w:bookmarkStart w:id="46" w:name="_Toc4586"/>
      <w:r>
        <w:rPr>
          <w:rFonts w:hint="eastAsia" w:ascii="宋体" w:hAnsi="宋体" w:cs="宋体"/>
          <w:sz w:val="24"/>
        </w:rPr>
        <w:t>14.5.5. 中标人不按签订合同约定执行的；</w:t>
      </w:r>
      <w:bookmarkEnd w:id="45"/>
      <w:bookmarkEnd w:id="46"/>
    </w:p>
    <w:p>
      <w:pPr>
        <w:rPr>
          <w:rFonts w:ascii="宋体" w:hAnsi="宋体" w:cs="宋体"/>
          <w:sz w:val="24"/>
        </w:rPr>
      </w:pPr>
      <w:bookmarkStart w:id="47" w:name="_Toc10924"/>
      <w:bookmarkStart w:id="48" w:name="_Toc10986"/>
      <w:r>
        <w:rPr>
          <w:rFonts w:hint="eastAsia" w:ascii="宋体" w:hAnsi="宋体" w:cs="宋体"/>
          <w:b/>
          <w:bCs/>
          <w:szCs w:val="21"/>
        </w:rPr>
        <w:t>*</w:t>
      </w:r>
      <w:r>
        <w:rPr>
          <w:rFonts w:hint="eastAsia" w:ascii="宋体" w:hAnsi="宋体" w:cs="宋体"/>
          <w:sz w:val="24"/>
        </w:rPr>
        <w:t>15. 投标文件的有效期</w:t>
      </w:r>
      <w:bookmarkEnd w:id="47"/>
      <w:bookmarkEnd w:id="48"/>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49" w:name="_Toc31903"/>
      <w:bookmarkStart w:id="50" w:name="_Toc10916"/>
      <w:r>
        <w:rPr>
          <w:rFonts w:hint="eastAsia" w:ascii="宋体" w:hAnsi="宋体" w:cs="宋体"/>
          <w:b/>
          <w:bCs/>
          <w:szCs w:val="21"/>
        </w:rPr>
        <w:t>*</w:t>
      </w:r>
      <w:r>
        <w:rPr>
          <w:rFonts w:hint="eastAsia" w:ascii="宋体" w:hAnsi="宋体" w:cs="宋体"/>
          <w:b/>
          <w:sz w:val="24"/>
        </w:rPr>
        <w:t>16. 投标文件的签署及加密</w:t>
      </w:r>
      <w:bookmarkEnd w:id="49"/>
      <w:bookmarkEnd w:id="50"/>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1" w:name="_Toc16079"/>
      <w:bookmarkStart w:id="52" w:name="_Toc23121"/>
      <w:r>
        <w:rPr>
          <w:rFonts w:hint="eastAsia" w:ascii="宋体" w:hAnsi="宋体" w:cs="宋体"/>
          <w:sz w:val="24"/>
        </w:rPr>
        <w:t>E. 投标文件的递交</w:t>
      </w:r>
      <w:bookmarkEnd w:id="51"/>
      <w:bookmarkEnd w:id="52"/>
    </w:p>
    <w:p>
      <w:pPr>
        <w:rPr>
          <w:rFonts w:ascii="宋体" w:hAnsi="宋体" w:cs="宋体"/>
          <w:b/>
          <w:sz w:val="24"/>
        </w:rPr>
      </w:pPr>
      <w:bookmarkStart w:id="53" w:name="_Toc29058"/>
      <w:bookmarkStart w:id="54" w:name="_Toc3580"/>
      <w:r>
        <w:rPr>
          <w:rFonts w:hint="eastAsia" w:ascii="宋体" w:hAnsi="宋体" w:cs="宋体"/>
          <w:b/>
          <w:sz w:val="24"/>
        </w:rPr>
        <w:t>17. 投标截止时间</w:t>
      </w:r>
      <w:bookmarkEnd w:id="53"/>
      <w:bookmarkEnd w:id="54"/>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5" w:name="_Toc32039"/>
      <w:bookmarkStart w:id="56" w:name="_Toc18815"/>
      <w:r>
        <w:rPr>
          <w:rFonts w:hint="eastAsia" w:ascii="宋体" w:hAnsi="宋体" w:cs="宋体"/>
          <w:b/>
          <w:sz w:val="24"/>
        </w:rPr>
        <w:t>18. 投标文件的修改和撤回</w:t>
      </w:r>
      <w:bookmarkEnd w:id="55"/>
      <w:bookmarkEnd w:id="56"/>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2"/>
        <w:numPr>
          <w:ilvl w:val="0"/>
          <w:numId w:val="0"/>
        </w:numPr>
        <w:spacing w:before="383" w:after="383"/>
        <w:rPr>
          <w:rFonts w:ascii="宋体" w:hAnsi="宋体" w:eastAsia="宋体" w:cs="宋体"/>
          <w:b/>
          <w:color w:val="FF0000"/>
          <w:kern w:val="2"/>
          <w:szCs w:val="21"/>
        </w:rPr>
      </w:pPr>
      <w:r>
        <w:rPr>
          <w:rFonts w:hint="eastAsia" w:ascii="宋体" w:hAnsi="宋体" w:eastAsia="宋体" w:cs="宋体"/>
          <w:kern w:val="2"/>
          <w:szCs w:val="21"/>
        </w:rPr>
        <w:t>21.2 参加开标的投标人代表应携带本人身份证明签名报到，以证明其出席开标会议</w:t>
      </w:r>
      <w:r>
        <w:rPr>
          <w:rFonts w:hint="eastAsia" w:ascii="宋体" w:hAnsi="宋体" w:eastAsia="宋体" w:cs="宋体"/>
          <w:b/>
          <w:color w:val="FF0000"/>
          <w:kern w:val="2"/>
          <w:szCs w:val="21"/>
        </w:rPr>
        <w:t xml:space="preserve">（根据实际的情况可能采取腾讯会议线上开标的形式进行，具体方式可听从招标人员通知）。 </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b/>
          <w:sz w:val="24"/>
        </w:rPr>
      </w:pPr>
      <w:bookmarkStart w:id="57" w:name="_Toc2574"/>
      <w:bookmarkStart w:id="58" w:name="_Toc30916"/>
      <w:r>
        <w:rPr>
          <w:rFonts w:hint="eastAsia" w:ascii="宋体" w:hAnsi="宋体" w:cs="宋体"/>
          <w:b/>
          <w:sz w:val="24"/>
        </w:rPr>
        <w:t>K、有关本招标文件的任何疑问，可函、电下列联系方式</w:t>
      </w:r>
      <w:bookmarkEnd w:id="57"/>
      <w:bookmarkEnd w:id="58"/>
    </w:p>
    <w:p>
      <w:pPr>
        <w:rPr>
          <w:rFonts w:ascii="宋体" w:hAnsi="宋体" w:cs="宋体"/>
          <w:b/>
          <w:sz w:val="24"/>
        </w:rPr>
      </w:pPr>
      <w:r>
        <w:rPr>
          <w:rFonts w:hint="eastAsia" w:ascii="宋体" w:hAnsi="宋体" w:cs="宋体"/>
          <w:b/>
          <w:sz w:val="24"/>
        </w:rPr>
        <w:t>联系单位：荣盛盟固利新能源科技有限公司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联系电话：010—89743388-8154</w:t>
      </w:r>
    </w:p>
    <w:p>
      <w:pPr>
        <w:rPr>
          <w:rFonts w:ascii="宋体" w:hAnsi="宋体" w:cs="宋体"/>
          <w:b/>
          <w:sz w:val="24"/>
        </w:rPr>
      </w:pPr>
      <w:r>
        <w:rPr>
          <w:rFonts w:hint="eastAsia" w:ascii="宋体" w:hAnsi="宋体" w:cs="宋体"/>
          <w:b/>
          <w:sz w:val="24"/>
        </w:rPr>
        <w:t>传    真：010--89747404</w:t>
      </w:r>
    </w:p>
    <w:p>
      <w:pPr>
        <w:rPr>
          <w:rFonts w:ascii="宋体" w:hAnsi="宋体" w:cs="宋体"/>
          <w:b/>
          <w:sz w:val="24"/>
        </w:rPr>
      </w:pPr>
      <w:r>
        <w:rPr>
          <w:rFonts w:hint="eastAsia" w:ascii="宋体" w:hAnsi="宋体" w:cs="宋体"/>
          <w:b/>
          <w:sz w:val="24"/>
        </w:rPr>
        <w:t>联 系 人：</w:t>
      </w:r>
      <w:r>
        <w:rPr>
          <w:rFonts w:hint="eastAsia" w:ascii="宋体" w:hAnsi="宋体" w:cs="宋体"/>
          <w:b/>
          <w:sz w:val="24"/>
          <w:lang w:val="en-US" w:eastAsia="zh-CN"/>
        </w:rPr>
        <w:t>李娜</w:t>
      </w:r>
      <w:r>
        <w:rPr>
          <w:rFonts w:hint="eastAsia" w:ascii="宋体" w:hAnsi="宋体" w:cs="宋体"/>
          <w:b/>
          <w:sz w:val="24"/>
        </w:rPr>
        <w:t xml:space="preserve">   手机1</w:t>
      </w:r>
      <w:r>
        <w:rPr>
          <w:rFonts w:hint="eastAsia" w:ascii="宋体" w:hAnsi="宋体" w:cs="宋体"/>
          <w:b/>
          <w:sz w:val="24"/>
          <w:lang w:val="en-US" w:eastAsia="zh-CN"/>
        </w:rPr>
        <w:t>5010350059</w:t>
      </w:r>
      <w:r>
        <w:rPr>
          <w:rFonts w:hint="eastAsia" w:ascii="宋体" w:hAnsi="宋体" w:cs="宋体"/>
          <w:b/>
          <w:sz w:val="24"/>
        </w:rPr>
        <w:t xml:space="preserve">   Email：</w:t>
      </w:r>
      <w:r>
        <w:rPr>
          <w:rFonts w:hint="eastAsia"/>
        </w:rPr>
        <w:t xml:space="preserve"> </w:t>
      </w:r>
      <w:r>
        <w:rPr>
          <w:rFonts w:hint="eastAsia"/>
          <w:lang w:val="en-US" w:eastAsia="zh-CN"/>
        </w:rPr>
        <w:t>lina</w:t>
      </w:r>
      <w:r>
        <w:rPr>
          <w:rFonts w:hint="eastAsia"/>
        </w:rPr>
        <w:t>@mgldl.com.cn</w:t>
      </w:r>
    </w:p>
    <w:p>
      <w:pPr>
        <w:rPr>
          <w:rFonts w:ascii="宋体" w:hAnsi="宋体" w:cs="宋体"/>
          <w:b/>
          <w:sz w:val="24"/>
        </w:rPr>
        <w:sectPr>
          <w:footerReference r:id="rId6"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30"/>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开标时我司视情况采取现场唱标形式，要求投标方销售总监或副总以上人员到场参加。</w:t>
      </w:r>
    </w:p>
    <w:p>
      <w:pPr>
        <w:pStyle w:val="30"/>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30"/>
        <w:numPr>
          <w:ilvl w:val="0"/>
          <w:numId w:val="5"/>
        </w:numPr>
        <w:ind w:firstLineChars="0"/>
        <w:rPr>
          <w:rFonts w:ascii="宋体" w:hAnsi="宋体" w:cs="宋体"/>
          <w:b/>
          <w:sz w:val="24"/>
        </w:rPr>
      </w:pPr>
      <w:r>
        <w:rPr>
          <w:rFonts w:hint="eastAsia" w:ascii="宋体" w:hAnsi="宋体" w:cs="宋体"/>
          <w:b/>
          <w:sz w:val="24"/>
        </w:rPr>
        <w:t>付款方式月结90天，电汇或银承；同等价格条件账期长的厂家会优先考虑。</w:t>
      </w:r>
    </w:p>
    <w:p>
      <w:pPr>
        <w:pStyle w:val="30"/>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30"/>
        <w:numPr>
          <w:ilvl w:val="0"/>
          <w:numId w:val="5"/>
        </w:numPr>
        <w:ind w:firstLineChars="0"/>
        <w:rPr>
          <w:rFonts w:ascii="宋体" w:hAnsi="宋体" w:cs="宋体"/>
          <w:b/>
          <w:sz w:val="24"/>
        </w:rPr>
      </w:pPr>
      <w:r>
        <w:rPr>
          <w:rFonts w:hint="eastAsia" w:ascii="宋体" w:hAnsi="宋体" w:cs="宋体"/>
          <w:b/>
          <w:sz w:val="24"/>
        </w:rPr>
        <w:t>初次合作的新供方中标后，我司保证在4个月内完成测试和引入，引入后签订框架协议。</w:t>
      </w:r>
    </w:p>
    <w:p>
      <w:pPr>
        <w:pStyle w:val="30"/>
        <w:numPr>
          <w:ilvl w:val="0"/>
          <w:numId w:val="5"/>
        </w:numPr>
        <w:ind w:firstLineChars="0"/>
        <w:rPr>
          <w:rFonts w:ascii="宋体" w:hAnsi="宋体" w:cs="宋体"/>
          <w:b/>
          <w:sz w:val="24"/>
        </w:rPr>
      </w:pPr>
      <w:r>
        <w:rPr>
          <w:rFonts w:hint="eastAsia" w:ascii="宋体" w:hAnsi="宋体" w:cs="宋体"/>
          <w:b/>
          <w:sz w:val="24"/>
        </w:rPr>
        <w:t>所有技术文件、商务文件须同时提供一份盖章扫描件，拷贝到U盘里和纸质文件一起邮寄至我公司。</w:t>
      </w:r>
    </w:p>
    <w:p>
      <w:pPr>
        <w:rPr>
          <w:rFonts w:ascii="宋体" w:hAnsi="宋体" w:cs="宋体"/>
          <w:b/>
          <w:sz w:val="24"/>
        </w:rPr>
      </w:pPr>
    </w:p>
    <w:p>
      <w:pPr>
        <w:widowControl/>
        <w:rPr>
          <w:b/>
          <w:spacing w:val="4"/>
          <w:sz w:val="18"/>
        </w:rPr>
        <w:sectPr>
          <w:pgSz w:w="11906" w:h="16838"/>
          <w:pgMar w:top="1440" w:right="1800" w:bottom="1440" w:left="1800" w:header="567" w:footer="567" w:gutter="0"/>
          <w:pgNumType w:fmt="numberInDash"/>
          <w:cols w:space="720" w:num="1"/>
          <w:docGrid w:type="lines" w:linePitch="383" w:charSpace="0"/>
        </w:sectPr>
      </w:pPr>
    </w:p>
    <w:p>
      <w:pPr>
        <w:overflowPunct w:val="0"/>
        <w:spacing w:line="360" w:lineRule="auto"/>
        <w:jc w:val="center"/>
        <w:outlineLvl w:val="0"/>
        <w:rPr>
          <w:rStyle w:val="36"/>
          <w:sz w:val="28"/>
          <w:szCs w:val="28"/>
        </w:rPr>
      </w:pPr>
      <w:bookmarkStart w:id="59" w:name="_Toc509411472"/>
      <w:bookmarkStart w:id="60" w:name="_Toc509413674"/>
      <w:bookmarkStart w:id="61" w:name="_Toc509411552"/>
      <w:bookmarkStart w:id="62" w:name="_Toc509413675"/>
      <w:bookmarkStart w:id="63" w:name="_Toc509411473"/>
      <w:bookmarkStart w:id="64" w:name="_Toc509411553"/>
      <w:r>
        <w:rPr>
          <w:rFonts w:hint="eastAsia"/>
          <w:b/>
          <w:bCs/>
        </w:rPr>
        <w:t>*</w:t>
      </w:r>
      <w:r>
        <w:rPr>
          <w:rStyle w:val="36"/>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1.投标函（附件1）</w:t>
      </w: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2.法定代表人授权委托书（附件2）</w:t>
      </w: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6.报价明细表（附件6）</w:t>
      </w:r>
    </w:p>
    <w:p>
      <w:pPr>
        <w:rPr>
          <w:rFonts w:ascii="宋体" w:hAnsi="宋体" w:cs="宋体"/>
          <w:szCs w:val="21"/>
        </w:rPr>
      </w:pPr>
      <w:r>
        <w:rPr>
          <w:rFonts w:hint="eastAsia" w:ascii="宋体" w:hAnsi="宋体" w:cs="宋体"/>
          <w:szCs w:val="21"/>
        </w:rPr>
        <w:t>7.合同条款偏离表（附件7）</w:t>
      </w:r>
    </w:p>
    <w:p>
      <w:pPr>
        <w:rPr>
          <w:rFonts w:ascii="宋体" w:hAnsi="宋体" w:cs="宋体"/>
          <w:szCs w:val="21"/>
        </w:rPr>
      </w:pPr>
      <w:r>
        <w:rPr>
          <w:rFonts w:hint="eastAsia" w:ascii="宋体" w:hAnsi="宋体" w:cs="宋体"/>
          <w:szCs w:val="21"/>
        </w:rPr>
        <w:t>8.供应商质量基本要求偏离表（附件8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rPr>
          <w:rStyle w:val="36"/>
          <w:sz w:val="28"/>
          <w:szCs w:val="28"/>
        </w:rPr>
      </w:pPr>
    </w:p>
    <w:p>
      <w:pPr>
        <w:widowControl/>
        <w:rPr>
          <w:rStyle w:val="36"/>
          <w:sz w:val="28"/>
          <w:szCs w:val="28"/>
        </w:rPr>
      </w:pPr>
    </w:p>
    <w:p>
      <w:pPr>
        <w:widowControl/>
        <w:jc w:val="center"/>
        <w:rPr>
          <w:rStyle w:val="36"/>
          <w:sz w:val="28"/>
          <w:szCs w:val="28"/>
        </w:rPr>
      </w:pPr>
      <w:r>
        <w:rPr>
          <w:rStyle w:val="36"/>
          <w:sz w:val="28"/>
          <w:szCs w:val="28"/>
        </w:rPr>
        <w:t>第</w:t>
      </w:r>
      <w:r>
        <w:rPr>
          <w:rStyle w:val="36"/>
          <w:rFonts w:hint="eastAsia"/>
          <w:sz w:val="28"/>
          <w:szCs w:val="28"/>
        </w:rPr>
        <w:t>三</w:t>
      </w:r>
      <w:r>
        <w:rPr>
          <w:rStyle w:val="36"/>
          <w:sz w:val="28"/>
          <w:szCs w:val="28"/>
        </w:rPr>
        <w:t>章</w:t>
      </w:r>
      <w:r>
        <w:rPr>
          <w:rStyle w:val="36"/>
          <w:rFonts w:hint="eastAsia"/>
          <w:sz w:val="28"/>
          <w:szCs w:val="28"/>
        </w:rPr>
        <w:t xml:space="preserve"> 招标技术要求</w:t>
      </w:r>
      <w:bookmarkEnd w:id="59"/>
      <w:bookmarkEnd w:id="60"/>
      <w:bookmarkEnd w:id="61"/>
    </w:p>
    <w:p>
      <w:pPr>
        <w:widowControl/>
        <w:jc w:val="center"/>
        <w:rPr>
          <w:rStyle w:val="36"/>
          <w:sz w:val="28"/>
          <w:szCs w:val="28"/>
        </w:rPr>
      </w:pPr>
      <w:r>
        <w:rPr>
          <w:rStyle w:val="36"/>
          <w:rFonts w:hint="eastAsia"/>
          <w:sz w:val="28"/>
          <w:szCs w:val="28"/>
        </w:rPr>
        <w:tab/>
      </w:r>
    </w:p>
    <w:p>
      <w:pPr>
        <w:widowControl/>
        <w:jc w:val="center"/>
        <w:rPr>
          <w:rStyle w:val="36"/>
          <w:sz w:val="28"/>
          <w:szCs w:val="28"/>
        </w:rPr>
      </w:pPr>
      <w:r>
        <w:rPr>
          <w:rStyle w:val="36"/>
          <w:rFonts w:hint="eastAsia"/>
          <w:sz w:val="28"/>
          <w:szCs w:val="28"/>
        </w:rPr>
        <w:t>（见附件10及技术图纸）</w:t>
      </w: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rPr>
          <w:rStyle w:val="36"/>
          <w:sz w:val="28"/>
          <w:szCs w:val="2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overflowPunct w:val="0"/>
        <w:spacing w:line="360" w:lineRule="auto"/>
        <w:jc w:val="center"/>
        <w:outlineLvl w:val="0"/>
        <w:rPr>
          <w:rStyle w:val="36"/>
          <w:sz w:val="28"/>
          <w:szCs w:val="28"/>
        </w:rPr>
      </w:pPr>
      <w:r>
        <w:rPr>
          <w:rStyle w:val="36"/>
          <w:rFonts w:hint="eastAsia"/>
          <w:sz w:val="28"/>
          <w:szCs w:val="28"/>
        </w:rPr>
        <w:t>第四章 合同条款要求</w:t>
      </w:r>
    </w:p>
    <w:p>
      <w:pPr>
        <w:adjustRightInd w:val="0"/>
        <w:snapToGrid w:val="0"/>
        <w:spacing w:line="400" w:lineRule="exact"/>
        <w:ind w:firstLine="4063" w:firstLineChars="1100"/>
        <w:rPr>
          <w:b/>
          <w:spacing w:val="4"/>
          <w:sz w:val="36"/>
          <w:szCs w:val="36"/>
        </w:rPr>
      </w:pPr>
      <w:r>
        <w:rPr>
          <w:rFonts w:hint="eastAsia"/>
          <w:b/>
          <w:spacing w:val="4"/>
          <w:sz w:val="36"/>
          <w:szCs w:val="36"/>
        </w:rPr>
        <w:t>采购框架协议</w:t>
      </w:r>
    </w:p>
    <w:p>
      <w:pPr>
        <w:adjustRightInd w:val="0"/>
        <w:snapToGrid w:val="0"/>
        <w:spacing w:line="400" w:lineRule="exact"/>
        <w:ind w:left="210" w:leftChars="100"/>
        <w:rPr>
          <w:rFonts w:ascii="宋体" w:hAnsi="宋体"/>
          <w:b/>
          <w:szCs w:val="21"/>
        </w:rPr>
      </w:pPr>
      <w:r>
        <w:rPr>
          <w:rFonts w:ascii="宋体" w:hAnsi="宋体"/>
          <w:b/>
          <w:szCs w:val="21"/>
        </w:rPr>
        <mc:AlternateContent>
          <mc:Choice Requires="wps">
            <w:drawing>
              <wp:anchor distT="0" distB="0" distL="114300" distR="114300" simplePos="0" relativeHeight="251659264" behindDoc="0" locked="0" layoutInCell="1" allowOverlap="1">
                <wp:simplePos x="0" y="0"/>
                <wp:positionH relativeFrom="column">
                  <wp:posOffset>3378200</wp:posOffset>
                </wp:positionH>
                <wp:positionV relativeFrom="paragraph">
                  <wp:posOffset>199390</wp:posOffset>
                </wp:positionV>
                <wp:extent cx="2657475" cy="720090"/>
                <wp:effectExtent l="0" t="0" r="9525" b="444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657475" cy="719847"/>
                        </a:xfrm>
                        <a:prstGeom prst="rect">
                          <a:avLst/>
                        </a:prstGeom>
                        <a:solidFill>
                          <a:srgbClr val="FFFFFF"/>
                        </a:solidFill>
                        <a:ln>
                          <a:noFill/>
                        </a:ln>
                      </wps:spPr>
                      <wps:txbx>
                        <w:txbxContent>
                          <w:p>
                            <w:pPr>
                              <w:adjustRightInd w:val="0"/>
                              <w:snapToGrid w:val="0"/>
                              <w:spacing w:line="360" w:lineRule="auto"/>
                              <w:rPr>
                                <w:rFonts w:ascii="宋体" w:hAnsi="宋体"/>
                                <w:b/>
                                <w:bCs/>
                                <w:spacing w:val="4"/>
                                <w:szCs w:val="20"/>
                              </w:rPr>
                            </w:pPr>
                            <w:r>
                              <w:rPr>
                                <w:rFonts w:hint="eastAsia" w:ascii="宋体" w:hAnsi="宋体"/>
                                <w:spacing w:val="4"/>
                                <w:szCs w:val="20"/>
                              </w:rPr>
                              <w:t>合同编号：</w:t>
                            </w:r>
                          </w:p>
                          <w:p>
                            <w:pPr>
                              <w:adjustRightInd w:val="0"/>
                              <w:snapToGrid w:val="0"/>
                              <w:spacing w:line="360" w:lineRule="auto"/>
                              <w:rPr>
                                <w:spacing w:val="4"/>
                                <w:sz w:val="18"/>
                                <w:szCs w:val="20"/>
                              </w:rPr>
                            </w:pPr>
                            <w:r>
                              <w:rPr>
                                <w:rFonts w:hint="eastAsia" w:ascii="宋体" w:hAnsi="宋体"/>
                                <w:spacing w:val="4"/>
                                <w:szCs w:val="20"/>
                              </w:rPr>
                              <w:t>签订日期：【】年【】月【】日</w:t>
                            </w:r>
                          </w:p>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66pt;margin-top:15.7pt;height:56.7pt;width:209.25pt;z-index:251659264;mso-width-relative:page;mso-height-relative:page;" fillcolor="#FFFFFF" filled="t" stroked="f" coordsize="21600,21600" o:gfxdata="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AIn9kAAAAKAQAADwAAAAAAAAABACAAAAAiAAAAZHJzL2Rv&#10;d25yZXYueG1sUEsBAhQAFAAAAAgAh07iQKd7yNcAAgAA7wMAAA4AAAAAAAAAAQAgAAAAKAEAAGRy&#10;cy9lMm9Eb2MueG1sUEsFBgAAAAAGAAYAWQEAAJoFAAAAAA==&#10;">
                <v:fill on="t" focussize="0,0"/>
                <v:stroke on="f"/>
                <v:imagedata o:title=""/>
                <o:lock v:ext="edit" aspectratio="f"/>
                <v:textbox>
                  <w:txbxContent>
                    <w:p>
                      <w:pPr>
                        <w:adjustRightInd w:val="0"/>
                        <w:snapToGrid w:val="0"/>
                        <w:spacing w:line="360" w:lineRule="auto"/>
                        <w:rPr>
                          <w:rFonts w:ascii="宋体" w:hAnsi="宋体"/>
                          <w:b/>
                          <w:bCs/>
                          <w:spacing w:val="4"/>
                          <w:szCs w:val="20"/>
                        </w:rPr>
                      </w:pPr>
                      <w:r>
                        <w:rPr>
                          <w:rFonts w:hint="eastAsia" w:ascii="宋体" w:hAnsi="宋体"/>
                          <w:spacing w:val="4"/>
                          <w:szCs w:val="20"/>
                        </w:rPr>
                        <w:t>合同编号：</w:t>
                      </w:r>
                    </w:p>
                    <w:p>
                      <w:pPr>
                        <w:adjustRightInd w:val="0"/>
                        <w:snapToGrid w:val="0"/>
                        <w:spacing w:line="360" w:lineRule="auto"/>
                        <w:rPr>
                          <w:spacing w:val="4"/>
                          <w:sz w:val="18"/>
                          <w:szCs w:val="20"/>
                        </w:rPr>
                      </w:pPr>
                      <w:r>
                        <w:rPr>
                          <w:rFonts w:hint="eastAsia" w:ascii="宋体" w:hAnsi="宋体"/>
                          <w:spacing w:val="4"/>
                          <w:szCs w:val="20"/>
                        </w:rPr>
                        <w:t>签订日期：【】年【】月【】日</w:t>
                      </w:r>
                    </w:p>
                    <w:p/>
                  </w:txbxContent>
                </v:textbox>
              </v:shape>
            </w:pict>
          </mc:Fallback>
        </mc:AlternateContent>
      </w:r>
    </w:p>
    <w:p>
      <w:pPr>
        <w:adjustRightInd w:val="0"/>
        <w:snapToGrid w:val="0"/>
        <w:spacing w:line="480" w:lineRule="auto"/>
        <w:ind w:left="210" w:leftChars="100"/>
        <w:rPr>
          <w:rFonts w:ascii="宋体" w:hAnsi="宋体"/>
          <w:b/>
          <w:szCs w:val="21"/>
        </w:rPr>
      </w:pPr>
      <w:r>
        <w:rPr>
          <w:rFonts w:hint="eastAsia" w:ascii="宋体" w:hAnsi="宋体"/>
          <w:b/>
          <w:szCs w:val="21"/>
        </w:rPr>
        <w:t>甲方：</w:t>
      </w:r>
      <w:r>
        <w:rPr>
          <w:rFonts w:hint="eastAsia" w:ascii="宋体" w:hAnsi="宋体"/>
          <w:spacing w:val="4"/>
        </w:rPr>
        <w:t xml:space="preserve"> </w:t>
      </w:r>
      <w:r>
        <w:rPr>
          <w:rFonts w:hint="eastAsia" w:ascii="宋体" w:hAnsi="宋体"/>
          <w:szCs w:val="21"/>
        </w:rPr>
        <w:t>荣盛盟固利新能源科技有限公司</w:t>
      </w:r>
      <w:r>
        <w:rPr>
          <w:rFonts w:ascii="宋体" w:hAnsi="宋体"/>
          <w:b/>
          <w:szCs w:val="21"/>
        </w:rPr>
        <w:br w:type="textWrapping"/>
      </w:r>
      <w:r>
        <w:rPr>
          <w:rFonts w:hint="eastAsia" w:ascii="宋体" w:hAnsi="宋体"/>
          <w:b/>
          <w:szCs w:val="21"/>
        </w:rPr>
        <w:t>乙方：</w:t>
      </w:r>
      <w:r>
        <w:rPr>
          <w:rFonts w:ascii="宋体" w:hAnsi="宋体"/>
          <w:spacing w:val="4"/>
        </w:rPr>
        <w:t xml:space="preserve"> </w:t>
      </w:r>
    </w:p>
    <w:p>
      <w:pPr>
        <w:adjustRightInd w:val="0"/>
        <w:snapToGrid w:val="0"/>
        <w:spacing w:line="480" w:lineRule="auto"/>
        <w:ind w:left="210" w:leftChars="100" w:firstLine="436" w:firstLineChars="200"/>
        <w:rPr>
          <w:rFonts w:ascii="宋体" w:hAnsi="宋体"/>
          <w:spacing w:val="4"/>
          <w:szCs w:val="21"/>
        </w:rPr>
      </w:pPr>
      <w:r>
        <w:rPr>
          <w:rFonts w:ascii="宋体" w:hAnsi="宋体"/>
          <w:spacing w:val="4"/>
          <w:szCs w:val="21"/>
        </w:rPr>
        <w:t>根据《中华人民共和国</w:t>
      </w:r>
      <w:r>
        <w:rPr>
          <w:rFonts w:hint="eastAsia" w:ascii="宋体" w:hAnsi="宋体"/>
          <w:spacing w:val="4"/>
          <w:szCs w:val="21"/>
        </w:rPr>
        <w:t>民</w:t>
      </w:r>
      <w:r>
        <w:rPr>
          <w:rFonts w:ascii="宋体" w:hAnsi="宋体"/>
          <w:spacing w:val="4"/>
          <w:szCs w:val="21"/>
        </w:rPr>
        <w:t>法典》</w:t>
      </w:r>
      <w:r>
        <w:rPr>
          <w:rFonts w:hint="eastAsia" w:ascii="宋体" w:hAnsi="宋体"/>
          <w:spacing w:val="4"/>
          <w:szCs w:val="21"/>
        </w:rPr>
        <w:t>及</w:t>
      </w:r>
      <w:r>
        <w:rPr>
          <w:rFonts w:ascii="宋体" w:hAnsi="宋体"/>
          <w:spacing w:val="4"/>
          <w:szCs w:val="21"/>
        </w:rPr>
        <w:t>《中华人民共和国产品质量法》的有关规定，</w:t>
      </w:r>
      <w:r>
        <w:rPr>
          <w:rFonts w:hint="eastAsia" w:ascii="宋体" w:hAnsi="宋体"/>
          <w:spacing w:val="4"/>
          <w:szCs w:val="21"/>
        </w:rPr>
        <w:t>甲、乙</w:t>
      </w:r>
      <w:r>
        <w:rPr>
          <w:rFonts w:ascii="宋体" w:hAnsi="宋体"/>
          <w:spacing w:val="4"/>
          <w:szCs w:val="21"/>
        </w:rPr>
        <w:t>双方在平等自愿的基础上，就以下产品购销事宜达成如下一致协议</w:t>
      </w:r>
      <w:r>
        <w:rPr>
          <w:rFonts w:hint="eastAsia" w:ascii="宋体" w:hAnsi="宋体"/>
          <w:spacing w:val="4"/>
          <w:szCs w:val="21"/>
        </w:rPr>
        <w:t>：</w:t>
      </w:r>
    </w:p>
    <w:p>
      <w:pPr>
        <w:pStyle w:val="40"/>
        <w:numPr>
          <w:ilvl w:val="0"/>
          <w:numId w:val="6"/>
        </w:numPr>
        <w:adjustRightInd w:val="0"/>
        <w:snapToGrid w:val="0"/>
        <w:spacing w:line="400" w:lineRule="exact"/>
        <w:ind w:firstLineChars="0"/>
        <w:rPr>
          <w:rFonts w:ascii="宋体" w:hAnsi="宋体"/>
          <w:b/>
          <w:bCs/>
          <w:spacing w:val="4"/>
          <w:szCs w:val="21"/>
        </w:rPr>
      </w:pPr>
      <w:r>
        <w:rPr>
          <w:rFonts w:hint="eastAsia" w:ascii="宋体" w:hAnsi="宋体"/>
          <w:b/>
          <w:bCs/>
          <w:spacing w:val="4"/>
          <w:szCs w:val="21"/>
        </w:rPr>
        <w:t>总则：</w:t>
      </w:r>
    </w:p>
    <w:p>
      <w:pPr>
        <w:numPr>
          <w:ilvl w:val="0"/>
          <w:numId w:val="7"/>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8"/>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9"/>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双方签订的《技术协议》、《质量协议》和采购订单是本协议不可分割的一部分</w:t>
      </w:r>
      <w:r>
        <w:rPr>
          <w:rFonts w:hint="eastAsia" w:asciiTheme="minorEastAsia" w:hAnsiTheme="minorEastAsia" w:eastAsiaTheme="minorEastAsia"/>
          <w:spacing w:val="4"/>
          <w:szCs w:val="21"/>
        </w:rPr>
        <w:t>，与本协议具有同等法律效力</w:t>
      </w:r>
      <w:r>
        <w:rPr>
          <w:rFonts w:hint="eastAsia" w:ascii="宋体" w:hAnsi="宋体"/>
          <w:spacing w:val="4"/>
          <w:szCs w:val="21"/>
        </w:rPr>
        <w:t>。</w:t>
      </w:r>
    </w:p>
    <w:p>
      <w:pPr>
        <w:pStyle w:val="40"/>
        <w:numPr>
          <w:ilvl w:val="0"/>
          <w:numId w:val="6"/>
        </w:numPr>
        <w:adjustRightInd w:val="0"/>
        <w:snapToGrid w:val="0"/>
        <w:spacing w:line="400" w:lineRule="exact"/>
        <w:ind w:firstLineChars="0"/>
        <w:rPr>
          <w:rFonts w:ascii="宋体" w:hAnsi="宋体"/>
          <w:b/>
          <w:bCs/>
          <w:spacing w:val="4"/>
          <w:szCs w:val="21"/>
        </w:rPr>
      </w:pPr>
      <w:r>
        <w:rPr>
          <w:rFonts w:hint="eastAsia" w:ascii="宋体" w:hAnsi="宋体"/>
          <w:b/>
          <w:bCs/>
          <w:spacing w:val="4"/>
          <w:szCs w:val="21"/>
        </w:rPr>
        <w:t>产品名称、型号价格：</w:t>
      </w:r>
    </w:p>
    <w:p>
      <w:pPr>
        <w:adjustRightInd w:val="0"/>
        <w:snapToGrid w:val="0"/>
        <w:spacing w:line="400" w:lineRule="exact"/>
        <w:rPr>
          <w:rFonts w:ascii="宋体" w:hAnsi="宋体"/>
          <w:bCs/>
          <w:spacing w:val="4"/>
          <w:szCs w:val="21"/>
        </w:rPr>
      </w:pPr>
      <w:r>
        <w:rPr>
          <w:rFonts w:hint="eastAsia" w:ascii="宋体" w:hAnsi="宋体"/>
          <w:bCs/>
          <w:spacing w:val="4"/>
          <w:szCs w:val="21"/>
        </w:rPr>
        <w:t>2.1 供货明细表（到厂价，含13%增值税）</w:t>
      </w:r>
    </w:p>
    <w:tbl>
      <w:tblPr>
        <w:tblStyle w:val="24"/>
        <w:tblW w:w="10080" w:type="dxa"/>
        <w:tblInd w:w="9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0"/>
        <w:gridCol w:w="1280"/>
        <w:gridCol w:w="2120"/>
        <w:gridCol w:w="3045"/>
        <w:gridCol w:w="1417"/>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0" w:hRule="atLeast"/>
        </w:trPr>
        <w:tc>
          <w:tcPr>
            <w:tcW w:w="80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128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物料编码</w:t>
            </w:r>
          </w:p>
        </w:tc>
        <w:tc>
          <w:tcPr>
            <w:tcW w:w="2120" w:type="dxa"/>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产品名称</w:t>
            </w:r>
          </w:p>
        </w:tc>
        <w:tc>
          <w:tcPr>
            <w:tcW w:w="3045" w:type="dxa"/>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规格型号</w:t>
            </w:r>
          </w:p>
        </w:tc>
        <w:tc>
          <w:tcPr>
            <w:tcW w:w="1417" w:type="dxa"/>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含税单价</w:t>
            </w:r>
          </w:p>
        </w:tc>
        <w:tc>
          <w:tcPr>
            <w:tcW w:w="1418" w:type="dxa"/>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月供应量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1</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2</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3</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4</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5</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800" w:type="dxa"/>
            <w:shd w:val="clear" w:color="auto" w:fill="auto"/>
            <w:noWrap/>
            <w:vAlign w:val="center"/>
          </w:tcPr>
          <w:p>
            <w:pPr>
              <w:widowControl/>
              <w:jc w:val="center"/>
              <w:rPr>
                <w:rFonts w:ascii="宋体" w:hAnsi="宋体"/>
                <w:bCs/>
                <w:spacing w:val="4"/>
                <w:szCs w:val="21"/>
              </w:rPr>
            </w:pPr>
            <w:r>
              <w:rPr>
                <w:rFonts w:hint="eastAsia" w:ascii="宋体" w:hAnsi="宋体"/>
                <w:bCs/>
                <w:spacing w:val="4"/>
                <w:szCs w:val="21"/>
              </w:rPr>
              <w:t>6</w:t>
            </w:r>
          </w:p>
        </w:tc>
        <w:tc>
          <w:tcPr>
            <w:tcW w:w="1280" w:type="dxa"/>
            <w:shd w:val="clear" w:color="auto" w:fill="auto"/>
            <w:vAlign w:val="center"/>
          </w:tcPr>
          <w:p>
            <w:pPr>
              <w:widowControl/>
              <w:jc w:val="center"/>
              <w:rPr>
                <w:rFonts w:ascii="宋体" w:hAnsi="宋体"/>
                <w:bCs/>
                <w:spacing w:val="4"/>
                <w:szCs w:val="21"/>
              </w:rPr>
            </w:pPr>
          </w:p>
        </w:tc>
        <w:tc>
          <w:tcPr>
            <w:tcW w:w="2120" w:type="dxa"/>
            <w:shd w:val="clear" w:color="auto" w:fill="auto"/>
            <w:vAlign w:val="center"/>
          </w:tcPr>
          <w:p>
            <w:pPr>
              <w:widowControl/>
              <w:jc w:val="center"/>
              <w:rPr>
                <w:rFonts w:ascii="宋体" w:hAnsi="宋体"/>
                <w:bCs/>
                <w:spacing w:val="4"/>
                <w:szCs w:val="21"/>
              </w:rPr>
            </w:pPr>
          </w:p>
        </w:tc>
        <w:tc>
          <w:tcPr>
            <w:tcW w:w="3045" w:type="dxa"/>
            <w:shd w:val="clear" w:color="auto" w:fill="auto"/>
            <w:vAlign w:val="center"/>
          </w:tcPr>
          <w:p>
            <w:pPr>
              <w:widowControl/>
              <w:jc w:val="center"/>
              <w:rPr>
                <w:rFonts w:ascii="宋体" w:hAnsi="宋体"/>
                <w:bCs/>
                <w:spacing w:val="4"/>
                <w:szCs w:val="21"/>
              </w:rPr>
            </w:pPr>
          </w:p>
        </w:tc>
        <w:tc>
          <w:tcPr>
            <w:tcW w:w="1417" w:type="dxa"/>
            <w:shd w:val="clear" w:color="auto" w:fill="auto"/>
            <w:noWrap/>
            <w:vAlign w:val="center"/>
          </w:tcPr>
          <w:p>
            <w:pPr>
              <w:widowControl/>
              <w:jc w:val="center"/>
              <w:rPr>
                <w:rFonts w:ascii="宋体" w:hAnsi="宋体" w:cs="宋体"/>
                <w:color w:val="000000"/>
                <w:kern w:val="0"/>
                <w:sz w:val="20"/>
                <w:szCs w:val="20"/>
              </w:rPr>
            </w:pPr>
          </w:p>
        </w:tc>
        <w:tc>
          <w:tcPr>
            <w:tcW w:w="1418" w:type="dxa"/>
            <w:shd w:val="clear" w:color="auto" w:fill="auto"/>
            <w:noWrap/>
            <w:vAlign w:val="center"/>
          </w:tcPr>
          <w:p>
            <w:pPr>
              <w:widowControl/>
              <w:jc w:val="left"/>
              <w:rPr>
                <w:rFonts w:ascii="宋体" w:hAnsi="宋体"/>
                <w:bCs/>
                <w:spacing w:val="4"/>
                <w:szCs w:val="21"/>
              </w:rPr>
            </w:pPr>
          </w:p>
        </w:tc>
      </w:tr>
    </w:tbl>
    <w:p>
      <w:pPr>
        <w:spacing w:line="400" w:lineRule="exact"/>
        <w:rPr>
          <w:rFonts w:ascii="宋体" w:hAnsi="宋体"/>
          <w:bCs/>
          <w:szCs w:val="21"/>
        </w:rPr>
      </w:pPr>
      <w:r>
        <w:rPr>
          <w:rFonts w:hint="eastAsia" w:ascii="宋体" w:hAnsi="宋体"/>
          <w:bCs/>
          <w:szCs w:val="21"/>
        </w:rPr>
        <w:t>备注：月供应量是乙方可供给甲方的每月产品用量而非乙方的产能。</w:t>
      </w:r>
    </w:p>
    <w:p>
      <w:pPr>
        <w:spacing w:line="40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本协议为固定单价合同，甲方按照实际需求向乙方发出采购订单，乙方确保在采购订单规定的时间内送达产品至甲方指定库房或者指定收货人。</w:t>
      </w:r>
    </w:p>
    <w:p>
      <w:pPr>
        <w:adjustRightInd w:val="0"/>
        <w:snapToGrid w:val="0"/>
        <w:spacing w:line="400" w:lineRule="exact"/>
        <w:ind w:firstLine="420" w:firstLineChars="200"/>
        <w:rPr>
          <w:rFonts w:ascii="宋体" w:hAnsi="宋体"/>
          <w:szCs w:val="21"/>
          <w:lang w:val="zh-CN"/>
        </w:rPr>
      </w:pPr>
      <w:r>
        <w:rPr>
          <w:rFonts w:hint="eastAsia" w:ascii="宋体" w:hAnsi="宋体"/>
          <w:szCs w:val="21"/>
        </w:rPr>
        <w:t>2.3</w:t>
      </w:r>
      <w:r>
        <w:rPr>
          <w:rFonts w:hint="eastAsia" w:ascii="宋体" w:hAnsi="宋体"/>
          <w:szCs w:val="21"/>
          <w:lang w:val="zh-CN"/>
        </w:rPr>
        <w:t xml:space="preserve">甲方依据其需求情况，可以向乙方提供后续阶段的采购预测，此采购预测仅供乙方了解甲方后续需求情况之用。乙方应依据需求预测保障一定的供应弹性，进行合理备料，以满足甲方的需求预测。 </w:t>
      </w:r>
    </w:p>
    <w:p>
      <w:pPr>
        <w:spacing w:line="400" w:lineRule="exact"/>
        <w:ind w:firstLine="420" w:firstLineChars="200"/>
        <w:rPr>
          <w:rFonts w:ascii="宋体" w:hAnsi="宋体"/>
          <w:szCs w:val="21"/>
        </w:rPr>
      </w:pPr>
      <w:r>
        <w:rPr>
          <w:rFonts w:hint="eastAsia" w:ascii="宋体" w:hAnsi="宋体"/>
          <w:szCs w:val="21"/>
        </w:rPr>
        <w:t>2.4乙方生产上述产品所使用的原材料型号、厂家由甲乙双方共同确定，非经甲方同意，乙方不得擅自变更。</w:t>
      </w:r>
    </w:p>
    <w:p>
      <w:pPr>
        <w:spacing w:line="400" w:lineRule="exact"/>
        <w:ind w:firstLine="420" w:firstLineChars="200"/>
        <w:rPr>
          <w:rFonts w:ascii="宋体" w:hAnsi="宋体"/>
          <w:szCs w:val="21"/>
        </w:rPr>
      </w:pPr>
      <w:r>
        <w:rPr>
          <w:rFonts w:hint="eastAsia" w:ascii="宋体" w:hAnsi="宋体"/>
          <w:szCs w:val="21"/>
        </w:rPr>
        <w:t>2.5 如遇原材料价格波动超过10%，更新调整后价格不超过原价格按材料比例和价格变动幅度核算的调整幅度。</w:t>
      </w:r>
    </w:p>
    <w:p>
      <w:pPr>
        <w:spacing w:line="400" w:lineRule="exact"/>
        <w:ind w:firstLine="420" w:firstLineChars="200"/>
        <w:rPr>
          <w:rFonts w:ascii="宋体" w:hAnsi="宋体"/>
          <w:szCs w:val="21"/>
        </w:rPr>
      </w:pPr>
    </w:p>
    <w:p>
      <w:pPr>
        <w:adjustRightInd w:val="0"/>
        <w:snapToGrid w:val="0"/>
        <w:spacing w:line="400" w:lineRule="exact"/>
        <w:rPr>
          <w:rFonts w:ascii="宋体" w:hAnsi="宋体"/>
          <w:b/>
          <w:bCs/>
          <w:spacing w:val="4"/>
          <w:szCs w:val="21"/>
        </w:rPr>
      </w:pPr>
      <w:r>
        <w:rPr>
          <w:rFonts w:hint="eastAsia" w:ascii="宋体" w:hAnsi="宋体"/>
          <w:b/>
          <w:bCs/>
          <w:spacing w:val="4"/>
          <w:szCs w:val="21"/>
        </w:rPr>
        <w:t>3、采购订单</w:t>
      </w:r>
    </w:p>
    <w:p>
      <w:pPr>
        <w:spacing w:line="400" w:lineRule="exact"/>
        <w:ind w:firstLine="420" w:firstLineChars="200"/>
        <w:rPr>
          <w:rFonts w:ascii="宋体" w:hAnsi="宋体"/>
          <w:szCs w:val="21"/>
        </w:rPr>
      </w:pPr>
      <w:r>
        <w:rPr>
          <w:rFonts w:hint="eastAsia" w:ascii="宋体" w:hAnsi="宋体"/>
          <w:szCs w:val="21"/>
        </w:rPr>
        <w:t>3.1甲方根据需求向乙方发出采购订单，并在采购订单上注明所需产品的品名、规格型号、数量、币种、价格、交货期限和交货地点等。</w:t>
      </w:r>
      <w:bookmarkStart w:id="65" w:name="_Hlk508969622"/>
      <w:r>
        <w:rPr>
          <w:rFonts w:hint="eastAsia" w:ascii="宋体" w:hAnsi="宋体"/>
          <w:szCs w:val="21"/>
        </w:rPr>
        <w:t>采购订单为本协议的有效组成部分，受本协议条款的约束。</w:t>
      </w:r>
      <w:bookmarkEnd w:id="65"/>
    </w:p>
    <w:p>
      <w:pPr>
        <w:spacing w:line="400" w:lineRule="exact"/>
        <w:ind w:firstLine="420" w:firstLineChars="200"/>
        <w:rPr>
          <w:rFonts w:ascii="宋体" w:hAnsi="宋体"/>
          <w:szCs w:val="21"/>
        </w:rPr>
      </w:pPr>
      <w:r>
        <w:rPr>
          <w:rFonts w:hint="eastAsia" w:ascii="宋体" w:hAnsi="宋体"/>
          <w:szCs w:val="21"/>
        </w:rPr>
        <w:t xml:space="preserve">3.2采购订单发出后，乙方应在2个工作日内（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rPr>
        <w:t>3.3由于市场变化或其它不可预测因素导致甲方对产品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szCs w:val="21"/>
        </w:rPr>
      </w:pPr>
      <w:r>
        <w:rPr>
          <w:rFonts w:hint="eastAsia" w:ascii="宋体" w:hAnsi="宋体"/>
          <w:szCs w:val="21"/>
        </w:rPr>
        <w:t>3.4因乙方产品出现质量问题且此问题在短时间内无法解决，甲方</w:t>
      </w:r>
      <w:r>
        <w:rPr>
          <w:rFonts w:hint="eastAsia" w:asciiTheme="minorEastAsia" w:hAnsiTheme="minorEastAsia" w:eastAsiaTheme="minorEastAsia"/>
          <w:szCs w:val="21"/>
        </w:rPr>
        <w:t>有权</w:t>
      </w:r>
      <w:r>
        <w:rPr>
          <w:rFonts w:hint="eastAsia" w:ascii="宋体" w:hAnsi="宋体"/>
          <w:szCs w:val="21"/>
        </w:rPr>
        <w:t>取消向乙方发出的有关该产品的采购订单</w:t>
      </w:r>
      <w:r>
        <w:rPr>
          <w:rFonts w:hint="eastAsia" w:asciiTheme="minorEastAsia" w:hAnsiTheme="minorEastAsia" w:eastAsiaTheme="minorEastAsia"/>
          <w:szCs w:val="21"/>
        </w:rPr>
        <w:t>并且不承担任何违约责任</w:t>
      </w:r>
      <w:r>
        <w:rPr>
          <w:rFonts w:hint="eastAsia" w:ascii="宋体" w:hAnsi="宋体"/>
          <w:szCs w:val="21"/>
        </w:rPr>
        <w:t>。待乙方将产品质量问题解决后，</w:t>
      </w:r>
      <w:r>
        <w:rPr>
          <w:rFonts w:hint="eastAsia" w:asciiTheme="minorEastAsia" w:hAnsiTheme="minorEastAsia" w:eastAsiaTheme="minorEastAsia"/>
          <w:szCs w:val="21"/>
        </w:rPr>
        <w:t>重</w:t>
      </w:r>
      <w:r>
        <w:rPr>
          <w:rFonts w:hint="eastAsia" w:ascii="宋体" w:hAnsi="宋体"/>
          <w:szCs w:val="21"/>
        </w:rPr>
        <w:t>新</w:t>
      </w:r>
      <w:r>
        <w:rPr>
          <w:rFonts w:hint="eastAsia" w:asciiTheme="minorEastAsia" w:hAnsiTheme="minorEastAsia" w:eastAsiaTheme="minorEastAsia"/>
          <w:szCs w:val="21"/>
        </w:rPr>
        <w:t>发出</w:t>
      </w:r>
      <w:r>
        <w:rPr>
          <w:rFonts w:hint="eastAsia" w:ascii="宋体" w:hAnsi="宋体"/>
          <w:szCs w:val="21"/>
        </w:rPr>
        <w:t xml:space="preserve">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rPr>
        <w:t>4、付款方式及期限</w:t>
      </w:r>
    </w:p>
    <w:p>
      <w:pPr>
        <w:adjustRightInd w:val="0"/>
        <w:snapToGrid w:val="0"/>
        <w:spacing w:line="400" w:lineRule="exact"/>
        <w:ind w:firstLine="420" w:firstLineChars="200"/>
        <w:rPr>
          <w:rFonts w:ascii="宋体" w:hAnsi="宋体"/>
          <w:kern w:val="11"/>
        </w:rPr>
      </w:pPr>
      <w:r>
        <w:rPr>
          <w:rFonts w:hint="eastAsia" w:ascii="宋体" w:hAnsi="宋体"/>
          <w:szCs w:val="21"/>
        </w:rPr>
        <w:t>4.14.1</w:t>
      </w:r>
      <w:r>
        <w:rPr>
          <w:rFonts w:hint="eastAsia" w:ascii="宋体" w:hAnsi="宋体"/>
          <w:kern w:val="11"/>
        </w:rPr>
        <w:t>甲方验收合格</w:t>
      </w:r>
      <w:r>
        <w:rPr>
          <w:rFonts w:hint="eastAsia" w:ascii="宋体" w:hAnsi="宋体" w:cs="宋体"/>
          <w:kern w:val="11"/>
          <w:szCs w:val="21"/>
        </w:rPr>
        <w:t>且收到乙方相应金额的增值税发票，经甲方审核及验证无误</w:t>
      </w:r>
      <w:r>
        <w:rPr>
          <w:rFonts w:hint="eastAsia" w:ascii="宋体" w:hAnsi="宋体"/>
          <w:kern w:val="11"/>
        </w:rPr>
        <w:t>后【 90 】日内付款</w:t>
      </w:r>
      <w:r>
        <w:rPr>
          <w:rFonts w:hint="eastAsia" w:ascii="宋体" w:hAnsi="宋体"/>
          <w:szCs w:val="21"/>
        </w:rPr>
        <w:t>，支付方式为：银行承兑汇票或电汇，如乙方不接受承兑汇票，电汇需乙方贴息</w:t>
      </w:r>
      <w:r>
        <w:rPr>
          <w:rFonts w:hint="eastAsia" w:ascii="宋体" w:hAnsi="宋体"/>
          <w:szCs w:val="21"/>
          <w:u w:val="single"/>
        </w:rPr>
        <w:t xml:space="preserve">  2  </w:t>
      </w:r>
      <w:r>
        <w:rPr>
          <w:rFonts w:hint="eastAsia" w:ascii="宋体" w:hAnsi="宋体"/>
          <w:szCs w:val="21"/>
        </w:rPr>
        <w:t>%</w:t>
      </w:r>
      <w:r>
        <w:rPr>
          <w:rFonts w:hint="eastAsia" w:ascii="宋体" w:hAnsi="宋体"/>
          <w:kern w:val="11"/>
        </w:rPr>
        <w:t>。</w:t>
      </w:r>
    </w:p>
    <w:p>
      <w:pPr>
        <w:spacing w:line="400" w:lineRule="exact"/>
        <w:ind w:firstLine="420" w:firstLineChars="200"/>
        <w:rPr>
          <w:rFonts w:asciiTheme="minorEastAsia" w:hAnsiTheme="minorEastAsia" w:eastAsiaTheme="minorEastAsia"/>
          <w:szCs w:val="21"/>
        </w:rPr>
      </w:pPr>
      <w:r>
        <w:rPr>
          <w:rFonts w:hint="eastAsia" w:ascii="宋体" w:hAnsi="宋体"/>
          <w:szCs w:val="21"/>
        </w:rPr>
        <w:t>4.2乙方需在发货时提供相应金额的增值税发票给甲方。</w:t>
      </w:r>
      <w:r>
        <w:rPr>
          <w:rFonts w:hint="eastAsia" w:asciiTheme="minorEastAsia" w:hAnsiTheme="minorEastAsia" w:eastAsiaTheme="minorEastAsia"/>
          <w:szCs w:val="21"/>
        </w:rPr>
        <w:t>在乙方提供合法有效的增值税发票前，甲方有权拒绝支付应付款项，且不承担任何违约责任，乙方的各项合同义务仍按合同约定履行。</w:t>
      </w:r>
    </w:p>
    <w:p>
      <w:pPr>
        <w:adjustRightInd w:val="0"/>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4.3乙方收款账户以签章处约定为准，若乙方的收款账户有任何变更，乙方应在付款前15日书面通知甲方，否则甲方对任何由于乙方收款账户变更导致的延迟付款不承担任何违约责任。</w:t>
      </w:r>
    </w:p>
    <w:p>
      <w:pPr>
        <w:adjustRightInd w:val="0"/>
        <w:snapToGrid w:val="0"/>
        <w:spacing w:line="400" w:lineRule="exact"/>
        <w:rPr>
          <w:rFonts w:ascii="宋体" w:hAnsi="宋体"/>
          <w:b/>
          <w:bCs/>
          <w:spacing w:val="4"/>
          <w:szCs w:val="21"/>
        </w:rPr>
      </w:pPr>
      <w:r>
        <w:rPr>
          <w:rFonts w:hint="eastAsia" w:ascii="宋体" w:hAnsi="宋体"/>
          <w:b/>
          <w:bCs/>
          <w:spacing w:val="4"/>
          <w:szCs w:val="21"/>
        </w:rPr>
        <w:t>5、订货方式、包装要求、交货时间及交货地点</w:t>
      </w:r>
    </w:p>
    <w:p>
      <w:pPr>
        <w:spacing w:line="400" w:lineRule="exact"/>
        <w:ind w:firstLine="420" w:firstLineChars="200"/>
        <w:rPr>
          <w:rFonts w:ascii="宋体" w:hAnsi="宋体"/>
          <w:szCs w:val="21"/>
        </w:rPr>
      </w:pPr>
      <w:r>
        <w:rPr>
          <w:rFonts w:hint="eastAsia" w:ascii="宋体" w:hAnsi="宋体"/>
          <w:szCs w:val="21"/>
        </w:rPr>
        <w:t>5.1 交货时间：交货周期（包括运输时间）为</w:t>
      </w:r>
      <w:r>
        <w:rPr>
          <w:rFonts w:hint="eastAsia" w:asciiTheme="minorEastAsia" w:hAnsiTheme="minorEastAsia" w:eastAsiaTheme="minorEastAsia"/>
          <w:szCs w:val="21"/>
        </w:rPr>
        <w:t>自甲方发出采购订单之日起</w:t>
      </w:r>
      <w:r>
        <w:rPr>
          <w:rFonts w:hint="eastAsia" w:ascii="宋体" w:hAnsi="宋体"/>
          <w:kern w:val="11"/>
        </w:rPr>
        <w:t>【 15 】</w:t>
      </w:r>
      <w:r>
        <w:rPr>
          <w:rFonts w:hint="eastAsia" w:ascii="宋体" w:hAnsi="宋体"/>
          <w:szCs w:val="21"/>
        </w:rPr>
        <w:t>日，具体交货时间按订单约定日期执行。</w:t>
      </w:r>
    </w:p>
    <w:p>
      <w:pPr>
        <w:spacing w:line="4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2乙方向甲方交付包装符合要求、数量齐全的该标的物时，乙方应向甲方出具送货单，甲方指定收货人签收并加盖甲方收货专用章的行为，仅表示：</w:t>
      </w:r>
    </w:p>
    <w:p>
      <w:pPr>
        <w:spacing w:line="400" w:lineRule="exact"/>
        <w:ind w:firstLine="420" w:firstLineChars="200"/>
        <w:rPr>
          <w:rFonts w:ascii="宋体" w:hAnsi="宋体"/>
          <w:szCs w:val="21"/>
        </w:rPr>
      </w:pPr>
      <w:r>
        <w:rPr>
          <w:rFonts w:hint="eastAsia" w:ascii="宋体" w:hAnsi="宋体"/>
          <w:szCs w:val="21"/>
        </w:rPr>
        <w:t>5.2.1甲方确认收到该标的物外包装未有重大且明显破损；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rPr>
        <w:t>5.2.3即使签收了送货单，甲方仍有权在收到产品后对产品的数量、质量、外包装、标示等提出异议，并随时要求乙方及时处理。</w:t>
      </w:r>
    </w:p>
    <w:p>
      <w:pPr>
        <w:spacing w:line="400" w:lineRule="exact"/>
        <w:ind w:firstLine="420" w:firstLineChars="200"/>
        <w:rPr>
          <w:rFonts w:ascii="宋体" w:hAnsi="宋体"/>
          <w:szCs w:val="21"/>
        </w:rPr>
      </w:pPr>
      <w:r>
        <w:rPr>
          <w:rFonts w:hint="eastAsia" w:ascii="宋体" w:hAnsi="宋体"/>
          <w:szCs w:val="21"/>
        </w:rPr>
        <w:t>5.2.4 甲方有权</w:t>
      </w:r>
      <w:r>
        <w:rPr>
          <w:rFonts w:ascii="宋体" w:hAnsi="宋体"/>
          <w:szCs w:val="21"/>
        </w:rPr>
        <w:t>根据</w:t>
      </w:r>
      <w:r>
        <w:rPr>
          <w:rFonts w:hint="eastAsia" w:ascii="宋体" w:hAnsi="宋体"/>
          <w:szCs w:val="21"/>
        </w:rPr>
        <w:t>实际</w:t>
      </w:r>
      <w:r>
        <w:rPr>
          <w:rFonts w:ascii="宋体" w:hAnsi="宋体"/>
          <w:szCs w:val="21"/>
        </w:rPr>
        <w:t>需求更改</w:t>
      </w:r>
      <w:r>
        <w:rPr>
          <w:rFonts w:hint="eastAsia" w:ascii="宋体" w:hAnsi="宋体"/>
          <w:szCs w:val="21"/>
        </w:rPr>
        <w:t>产品</w:t>
      </w:r>
      <w:r>
        <w:rPr>
          <w:rFonts w:ascii="宋体" w:hAnsi="宋体"/>
          <w:szCs w:val="21"/>
        </w:rPr>
        <w:t>包装要求，</w:t>
      </w:r>
      <w:r>
        <w:rPr>
          <w:rFonts w:hint="eastAsia" w:ascii="宋体" w:hAnsi="宋体"/>
          <w:szCs w:val="21"/>
        </w:rPr>
        <w:t>乙方</w:t>
      </w:r>
      <w:r>
        <w:rPr>
          <w:rFonts w:ascii="宋体" w:hAnsi="宋体"/>
          <w:szCs w:val="21"/>
        </w:rPr>
        <w:t>不得以甲方包装要求变更</w:t>
      </w:r>
      <w:r>
        <w:rPr>
          <w:rFonts w:hint="eastAsia" w:ascii="宋体" w:hAnsi="宋体"/>
          <w:szCs w:val="21"/>
        </w:rPr>
        <w:t>为由要求</w:t>
      </w:r>
      <w:r>
        <w:rPr>
          <w:rFonts w:ascii="宋体" w:hAnsi="宋体"/>
          <w:szCs w:val="21"/>
        </w:rPr>
        <w:t>调整产品价格。</w:t>
      </w:r>
    </w:p>
    <w:p>
      <w:pPr>
        <w:spacing w:line="400" w:lineRule="exact"/>
        <w:ind w:firstLine="420" w:firstLineChars="200"/>
        <w:rPr>
          <w:rFonts w:ascii="宋体" w:hAnsi="宋体"/>
          <w:szCs w:val="21"/>
        </w:rPr>
      </w:pPr>
      <w:r>
        <w:rPr>
          <w:rFonts w:hint="eastAsia" w:ascii="宋体" w:hAnsi="宋体"/>
          <w:szCs w:val="21"/>
        </w:rPr>
        <w:t>5.2.5  甲方指定收货人为</w:t>
      </w:r>
      <w:r>
        <w:rPr>
          <w:rFonts w:hint="eastAsia" w:ascii="宋体" w:hAnsi="宋体"/>
          <w:szCs w:val="21"/>
          <w:u w:val="single"/>
        </w:rPr>
        <w:t xml:space="preserve">              </w:t>
      </w:r>
      <w:r>
        <w:rPr>
          <w:rFonts w:hint="eastAsia" w:ascii="宋体" w:hAnsi="宋体"/>
          <w:szCs w:val="21"/>
        </w:rPr>
        <w:t xml:space="preserve">   身份证号码</w:t>
      </w:r>
      <w:r>
        <w:rPr>
          <w:rFonts w:hint="eastAsia" w:ascii="宋体" w:hAnsi="宋体"/>
          <w:szCs w:val="21"/>
          <w:u w:val="single"/>
        </w:rPr>
        <w:t xml:space="preserve">                    </w:t>
      </w:r>
      <w:r>
        <w:rPr>
          <w:rFonts w:hint="eastAsia" w:ascii="宋体" w:hAnsi="宋体"/>
          <w:szCs w:val="21"/>
        </w:rPr>
        <w:t>，如无甲方收货人签名并加盖甲方收货专用章，则视为甲方未收取货物，乙方无权向甲方申请支付货款。</w:t>
      </w:r>
    </w:p>
    <w:p>
      <w:pPr>
        <w:spacing w:line="400" w:lineRule="exact"/>
        <w:rPr>
          <w:rFonts w:ascii="宋体" w:hAnsi="宋体"/>
          <w:b/>
          <w:szCs w:val="21"/>
        </w:rPr>
      </w:pPr>
      <w:r>
        <w:rPr>
          <w:rFonts w:hint="eastAsia" w:ascii="宋体" w:hAnsi="宋体"/>
          <w:b/>
          <w:szCs w:val="21"/>
        </w:rPr>
        <w:t>6、交付</w:t>
      </w:r>
    </w:p>
    <w:p>
      <w:pPr>
        <w:spacing w:line="400" w:lineRule="exact"/>
        <w:ind w:firstLine="420" w:firstLineChars="200"/>
        <w:rPr>
          <w:rFonts w:ascii="宋体" w:hAnsi="宋体"/>
          <w:szCs w:val="21"/>
        </w:rPr>
      </w:pPr>
      <w:r>
        <w:rPr>
          <w:rFonts w:hint="eastAsia" w:ascii="宋体" w:hAnsi="宋体"/>
          <w:szCs w:val="21"/>
        </w:rPr>
        <w:t xml:space="preserve">6.1交付地点：采购订单约定地点。 </w:t>
      </w:r>
    </w:p>
    <w:p>
      <w:pPr>
        <w:spacing w:line="400" w:lineRule="exact"/>
        <w:ind w:firstLine="420" w:firstLineChars="200"/>
        <w:rPr>
          <w:rFonts w:ascii="宋体" w:hAnsi="宋体"/>
          <w:b/>
          <w:color w:val="FF0000"/>
          <w:szCs w:val="21"/>
        </w:rPr>
      </w:pPr>
      <w:r>
        <w:rPr>
          <w:rFonts w:ascii="宋体" w:hAnsi="宋体"/>
          <w:szCs w:val="21"/>
        </w:rPr>
        <w:t>6</w:t>
      </w:r>
      <w:r>
        <w:rPr>
          <w:rFonts w:hint="eastAsia" w:ascii="宋体" w:hAnsi="宋体"/>
          <w:szCs w:val="21"/>
        </w:rPr>
        <w:t>.2交货如无其他约定，是指由乙方或乙方委托的人员或机构将产品交到交货地点，与甲方或甲方书面指定的收货人办理收交货手续，并同时提供有关产品的包括但不限于合格证、出厂检验报告及甲方要求的其他文件等全部附件及附件清单（如上述文件非中文，乙方应当提供准确的中文翻译文件，乙方承担相应费用），视为完成交付。</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.3如甲方需要更改交货日期、交货地点、交货数量和收货人，经双方友好协商，甲方应在合理的时间内以书面交货通知的方式知会乙方。是否按时交货根据产品实际到达甲方指定地点的日期来判断。</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7运输费用、保险费用、符合运输条件的特定包装费用以及其他相关费用由乙方承担。在产品交付甲方前发生产品的毁损、灭失等风险均由乙方承担。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6.8若因乙方未按甲方要求数量提供产品，或未按时间提供产品，或提供产品质量不符合甲方要求造成甲方临时从其他主体处采购的，甲方采购替代产品的金额超出乙方供货产品价格部分及甲方增加的产品验证费用，对第三方支付的赔偿、生产线停线产生损失等均由乙方承担。</w:t>
      </w:r>
    </w:p>
    <w:p>
      <w:pPr>
        <w:adjustRightInd w:val="0"/>
        <w:snapToGrid w:val="0"/>
        <w:spacing w:line="400" w:lineRule="exact"/>
        <w:rPr>
          <w:rFonts w:ascii="宋体" w:hAnsi="宋体"/>
          <w:b/>
          <w:bCs/>
          <w:spacing w:val="4"/>
          <w:szCs w:val="21"/>
        </w:rPr>
      </w:pPr>
      <w:r>
        <w:rPr>
          <w:rFonts w:ascii="宋体" w:hAnsi="宋体"/>
          <w:b/>
          <w:bCs/>
          <w:spacing w:val="4"/>
          <w:szCs w:val="21"/>
        </w:rPr>
        <w:t>7</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.1按照甲方要求的标准包装执行。由于包装不善所引起的产品锈蚀、损坏和损失等均由乙方承担。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ascii="宋体" w:hAnsi="宋体"/>
          <w:b/>
          <w:bCs/>
          <w:spacing w:val="4"/>
          <w:szCs w:val="21"/>
        </w:rPr>
        <w:t>8</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ascii="宋体" w:hAnsi="宋体"/>
          <w:b/>
          <w:bCs/>
          <w:spacing w:val="4"/>
          <w:szCs w:val="21"/>
        </w:rPr>
        <w:t>9</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b/>
          <w:color w:val="FF0000"/>
          <w:szCs w:val="21"/>
        </w:rPr>
      </w:pPr>
      <w:r>
        <w:rPr>
          <w:rFonts w:ascii="宋体" w:hAnsi="宋体"/>
          <w:szCs w:val="21"/>
        </w:rPr>
        <w:t>9</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条中所规定的标准对产品进行验收。乙方须提供该批次产品的检测报告。如果甲方检测结果表明该批产品出现质量问题，甲方将用传真、电子邮件等方式通知乙方，乙方在收到甲方的通知后，应立即查找出现相关质量问题的原因，专人配合做分析改善，不配合不满足时间或方法不得当要赔偿甲方一切损失，无法计算的，按年度供货额20%计算。</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产品或解除协议并作退货处理，产生的损失由乙方承担。如有争议，由有评价资格的第三方机构对争议部分进行鉴定，费用由乙方垫付。产品符合质量标准的，鉴定费由甲方承担；产品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10</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 xml:space="preserve">.1乙方对其所供产品提供自到货且经甲方验收合格并签署验收单之日起【 96 】个月的品质保障； </w:t>
      </w:r>
    </w:p>
    <w:p>
      <w:pPr>
        <w:pStyle w:val="5"/>
        <w:adjustRightInd w:val="0"/>
        <w:snapToGrid w:val="0"/>
        <w:spacing w:line="400" w:lineRule="exact"/>
        <w:ind w:firstLine="420" w:firstLineChars="200"/>
        <w:rPr>
          <w:rFonts w:ascii="宋体" w:hAnsi="宋体" w:cs="宋体"/>
          <w:kern w:val="11"/>
          <w:szCs w:val="21"/>
        </w:rPr>
      </w:pPr>
      <w:r>
        <w:rPr>
          <w:rFonts w:ascii="宋体" w:hAnsi="宋体"/>
          <w:szCs w:val="21"/>
        </w:rPr>
        <w:t>10</w:t>
      </w:r>
      <w:r>
        <w:rPr>
          <w:rFonts w:hint="eastAsia" w:ascii="宋体" w:hAnsi="宋体"/>
          <w:szCs w:val="21"/>
        </w:rPr>
        <w:t>.2质保期内，出现产品质量问题，甲方提供退货原因说明及数量统计，经双方确认系属产品质量问题的，乙方及时给予免费退换并承担因退换货产生的运费，更换的产品享有更换后经甲方验收合格起重新计算【 96 】个月的质保期。产品的隐蔽质量瑕疵（包含但不限于材料及工艺缺陷）不受此质保期的限制，对于产品在正常使用年限内暴露的任何隐蔽质量瑕疵乙方都应负责，给予免费维修、更换或赔偿损失。</w:t>
      </w:r>
      <w:r>
        <w:rPr>
          <w:rFonts w:hint="eastAsia" w:asciiTheme="minorEastAsia" w:hAnsiTheme="minorEastAsia" w:eastAsiaTheme="minorEastAsia"/>
          <w:szCs w:val="21"/>
        </w:rPr>
        <w:t>对是否属产品质量问题如有争议，由有评价资格的第三方机构对争议部分进行鉴定，费用由乙方垫付。</w:t>
      </w:r>
      <w:r>
        <w:rPr>
          <w:rFonts w:hint="eastAsia" w:ascii="宋体" w:hAnsi="宋体" w:cs="宋体"/>
          <w:kern w:val="11"/>
          <w:szCs w:val="21"/>
        </w:rPr>
        <w:t>产品符合质量标准的，鉴定费由甲方承担；产品不符合质量标准的，鉴定费由乙方承担。</w:t>
      </w:r>
    </w:p>
    <w:p>
      <w:pPr>
        <w:spacing w:line="276" w:lineRule="auto"/>
        <w:rPr>
          <w:rFonts w:ascii="宋体" w:hAnsi="宋体"/>
          <w:b/>
          <w:bCs/>
          <w:color w:val="000000"/>
          <w:szCs w:val="21"/>
        </w:rPr>
      </w:pPr>
      <w:r>
        <w:rPr>
          <w:rFonts w:hint="eastAsia" w:ascii="宋体" w:hAnsi="宋体"/>
          <w:b/>
          <w:bCs/>
          <w:color w:val="000000"/>
          <w:szCs w:val="21"/>
        </w:rPr>
        <w:t>1</w:t>
      </w:r>
      <w:r>
        <w:rPr>
          <w:rFonts w:ascii="宋体" w:hAnsi="宋体"/>
          <w:b/>
          <w:bCs/>
          <w:color w:val="000000"/>
          <w:szCs w:val="21"/>
        </w:rPr>
        <w:t>1</w:t>
      </w:r>
      <w:r>
        <w:rPr>
          <w:rFonts w:hint="eastAsia" w:ascii="宋体" w:hAnsi="宋体"/>
          <w:b/>
          <w:bCs/>
          <w:color w:val="000000"/>
          <w:szCs w:val="21"/>
        </w:rPr>
        <w:t>、</w:t>
      </w:r>
      <w:r>
        <w:rPr>
          <w:rFonts w:ascii="宋体" w:hAnsi="宋体"/>
          <w:b/>
          <w:bCs/>
          <w:color w:val="000000"/>
          <w:szCs w:val="21"/>
        </w:rPr>
        <w:t>可追溯性条款</w:t>
      </w:r>
    </w:p>
    <w:p>
      <w:pPr>
        <w:pStyle w:val="10"/>
        <w:widowControl/>
        <w:tabs>
          <w:tab w:val="left" w:pos="704"/>
        </w:tabs>
        <w:snapToGrid w:val="0"/>
        <w:spacing w:line="276" w:lineRule="auto"/>
        <w:ind w:firstLine="420" w:firstLineChars="200"/>
        <w:rPr>
          <w:rFonts w:hAnsi="宋体"/>
          <w:szCs w:val="21"/>
        </w:rPr>
      </w:pPr>
      <w:r>
        <w:rPr>
          <w:rFonts w:hint="eastAsia" w:hAnsi="宋体"/>
          <w:szCs w:val="21"/>
        </w:rPr>
        <w:t>11.</w:t>
      </w:r>
      <w:r>
        <w:rPr>
          <w:rFonts w:hAnsi="宋体"/>
          <w:szCs w:val="21"/>
        </w:rPr>
        <w:t>1</w:t>
      </w:r>
      <w:r>
        <w:rPr>
          <w:rFonts w:hint="eastAsia" w:hAnsi="宋体"/>
          <w:szCs w:val="21"/>
        </w:rPr>
        <w:t>对</w:t>
      </w:r>
      <w:r>
        <w:rPr>
          <w:rFonts w:hAnsi="宋体"/>
          <w:szCs w:val="21"/>
        </w:rPr>
        <w:t>于</w:t>
      </w:r>
      <w:r>
        <w:rPr>
          <w:rFonts w:hint="eastAsia" w:hAnsi="宋体"/>
          <w:szCs w:val="21"/>
        </w:rPr>
        <w:t>甲方</w:t>
      </w:r>
      <w:r>
        <w:rPr>
          <w:rFonts w:hAnsi="宋体"/>
          <w:szCs w:val="21"/>
        </w:rPr>
        <w:t>有追溯性要求的</w:t>
      </w:r>
      <w:r>
        <w:rPr>
          <w:rFonts w:hint="eastAsia" w:hAnsi="宋体"/>
          <w:szCs w:val="21"/>
        </w:rPr>
        <w:t>产品</w:t>
      </w:r>
      <w:r>
        <w:rPr>
          <w:rFonts w:hAnsi="宋体"/>
          <w:szCs w:val="21"/>
        </w:rPr>
        <w:t>（重要、安全、可靠性），为了保持其唯一性和可追溯性，</w:t>
      </w:r>
      <w:r>
        <w:rPr>
          <w:rFonts w:hint="eastAsia" w:hAnsi="宋体"/>
          <w:szCs w:val="21"/>
        </w:rPr>
        <w:t>乙方</w:t>
      </w:r>
      <w:r>
        <w:rPr>
          <w:rFonts w:hAnsi="宋体"/>
          <w:szCs w:val="21"/>
        </w:rPr>
        <w:t>应按照</w:t>
      </w:r>
      <w:r>
        <w:rPr>
          <w:rFonts w:hint="eastAsia" w:hAnsi="宋体"/>
          <w:szCs w:val="21"/>
        </w:rPr>
        <w:t>甲方</w:t>
      </w:r>
      <w:r>
        <w:rPr>
          <w:rFonts w:hAnsi="宋体"/>
          <w:szCs w:val="21"/>
        </w:rPr>
        <w:t>的要求，以清晰牢固的方式</w:t>
      </w:r>
      <w:r>
        <w:rPr>
          <w:rFonts w:hint="eastAsia" w:hAnsi="宋体"/>
          <w:szCs w:val="21"/>
        </w:rPr>
        <w:t>在产品和外包装上</w:t>
      </w:r>
      <w:r>
        <w:rPr>
          <w:rFonts w:hAnsi="宋体"/>
          <w:szCs w:val="21"/>
        </w:rPr>
        <w:t>标识该物资的名称、型号、规格、制造厂商、批号、序列号、生产日期等信息，以便于对该</w:t>
      </w:r>
      <w:r>
        <w:rPr>
          <w:rFonts w:hint="eastAsia" w:hAnsi="宋体"/>
          <w:szCs w:val="21"/>
        </w:rPr>
        <w:t>产品</w:t>
      </w:r>
      <w:r>
        <w:rPr>
          <w:rFonts w:hAnsi="宋体"/>
          <w:szCs w:val="21"/>
        </w:rPr>
        <w:t>实施有效的追踪控制。该标识应与其包装、装箱单、附带文件保持严格的一致性。</w:t>
      </w:r>
    </w:p>
    <w:p>
      <w:pPr>
        <w:pStyle w:val="10"/>
        <w:widowControl/>
        <w:tabs>
          <w:tab w:val="left" w:pos="704"/>
        </w:tabs>
        <w:snapToGrid w:val="0"/>
        <w:spacing w:line="276" w:lineRule="auto"/>
        <w:ind w:firstLine="420" w:firstLineChars="200"/>
        <w:rPr>
          <w:rFonts w:hAnsi="宋体"/>
          <w:szCs w:val="21"/>
        </w:rPr>
      </w:pPr>
      <w:r>
        <w:rPr>
          <w:rFonts w:hint="eastAsia" w:hAnsi="宋体"/>
          <w:szCs w:val="21"/>
        </w:rPr>
        <w:t>11.</w:t>
      </w:r>
      <w:r>
        <w:rPr>
          <w:rFonts w:hAnsi="宋体"/>
          <w:szCs w:val="21"/>
        </w:rPr>
        <w:t>2</w:t>
      </w:r>
      <w:r>
        <w:rPr>
          <w:rFonts w:hint="eastAsia" w:hAnsi="宋体"/>
          <w:szCs w:val="21"/>
        </w:rPr>
        <w:t>需要时乙方应提供生产历史、制造过程中使用的原材料，以能够进行质量问题的调查和反馈。</w:t>
      </w:r>
    </w:p>
    <w:p>
      <w:pPr>
        <w:rPr>
          <w:rFonts w:ascii="宋体" w:hAnsi="宋体"/>
          <w:b/>
          <w:color w:val="000000"/>
          <w:szCs w:val="21"/>
        </w:rPr>
      </w:pPr>
      <w:r>
        <w:rPr>
          <w:rFonts w:hint="eastAsia"/>
          <w:b/>
        </w:rPr>
        <w:t>12、</w:t>
      </w:r>
      <w:r>
        <w:rPr>
          <w:rFonts w:hint="eastAsia" w:ascii="宋体" w:hAnsi="宋体"/>
          <w:b/>
          <w:bCs/>
          <w:color w:val="000000"/>
          <w:szCs w:val="21"/>
        </w:rPr>
        <w:t>乙方交付产品时需向甲方提供的文件</w:t>
      </w:r>
    </w:p>
    <w:p>
      <w:pPr>
        <w:pStyle w:val="5"/>
        <w:tabs>
          <w:tab w:val="left" w:pos="704"/>
        </w:tabs>
        <w:ind w:firstLine="440" w:firstLineChars="200"/>
        <w:jc w:val="both"/>
        <w:rPr>
          <w:rFonts w:ascii="宋体" w:hAnsi="宋体"/>
          <w:szCs w:val="21"/>
        </w:rPr>
      </w:pPr>
      <w:r>
        <w:rPr>
          <w:rFonts w:hint="eastAsia"/>
          <w:sz w:val="22"/>
          <w:szCs w:val="22"/>
        </w:rPr>
        <w:t>12.</w:t>
      </w:r>
      <w:r>
        <w:rPr>
          <w:sz w:val="22"/>
          <w:szCs w:val="22"/>
        </w:rPr>
        <w:t>1</w:t>
      </w:r>
      <w:r>
        <w:rPr>
          <w:rFonts w:hint="eastAsia"/>
          <w:sz w:val="22"/>
          <w:szCs w:val="22"/>
        </w:rPr>
        <w:t>在乙方交付</w:t>
      </w:r>
      <w:r>
        <w:rPr>
          <w:rFonts w:hint="eastAsia"/>
        </w:rPr>
        <w:t>产品满足本条款条件的情况下，</w:t>
      </w:r>
      <w:r>
        <w:rPr>
          <w:rFonts w:hint="eastAsia" w:ascii="宋体" w:hAnsi="宋体"/>
          <w:szCs w:val="21"/>
        </w:rPr>
        <w:t>乙方交付产品时需向甲方提供下列文件及文件清单：装箱单、质检单、产品说明书、合格证、产品检测报告等相关证明文件。对于</w:t>
      </w:r>
      <w:r>
        <w:rPr>
          <w:rFonts w:hint="eastAsia"/>
          <w:szCs w:val="21"/>
        </w:rPr>
        <w:t>有</w:t>
      </w:r>
      <w:r>
        <w:rPr>
          <w:szCs w:val="21"/>
        </w:rPr>
        <w:t>追溯性要求</w:t>
      </w:r>
      <w:r>
        <w:rPr>
          <w:rFonts w:hint="eastAsia"/>
          <w:szCs w:val="21"/>
        </w:rPr>
        <w:t>的产品，乙方需提供符合性声明。</w:t>
      </w:r>
    </w:p>
    <w:p>
      <w:pPr>
        <w:pStyle w:val="5"/>
        <w:tabs>
          <w:tab w:val="left" w:pos="704"/>
        </w:tabs>
        <w:ind w:firstLine="420" w:firstLineChars="200"/>
        <w:jc w:val="both"/>
        <w:rPr>
          <w:rFonts w:ascii="宋体" w:hAnsi="宋体"/>
          <w:szCs w:val="21"/>
        </w:rPr>
      </w:pPr>
      <w:r>
        <w:rPr>
          <w:rFonts w:hint="eastAsia" w:ascii="宋体" w:hAnsi="宋体"/>
          <w:szCs w:val="21"/>
        </w:rPr>
        <w:t>12.</w:t>
      </w:r>
      <w:r>
        <w:rPr>
          <w:rFonts w:ascii="宋体" w:hAnsi="宋体"/>
          <w:szCs w:val="21"/>
        </w:rPr>
        <w:t>2</w:t>
      </w:r>
      <w:r>
        <w:rPr>
          <w:rFonts w:hint="eastAsia" w:ascii="宋体" w:hAnsi="宋体"/>
          <w:szCs w:val="21"/>
        </w:rPr>
        <w:t>有法律法规等规定的特殊要求时，乙方需提供相应的符合法律要求的证明材料。</w:t>
      </w:r>
    </w:p>
    <w:p>
      <w:pPr>
        <w:pStyle w:val="5"/>
        <w:rPr>
          <w:rFonts w:ascii="宋体" w:hAnsi="宋体" w:cs="Arial"/>
          <w:b/>
          <w:color w:val="000000"/>
          <w:szCs w:val="21"/>
        </w:rPr>
      </w:pPr>
      <w:r>
        <w:rPr>
          <w:rFonts w:hint="eastAsia" w:asciiTheme="minorEastAsia" w:hAnsiTheme="minorEastAsia" w:eastAsiaTheme="minorEastAsia"/>
          <w:b/>
          <w:szCs w:val="21"/>
        </w:rPr>
        <w:t>13、</w:t>
      </w:r>
      <w:r>
        <w:rPr>
          <w:rFonts w:hint="eastAsia" w:ascii="宋体" w:hAnsi="宋体" w:cs="Arial"/>
          <w:b/>
          <w:color w:val="000000"/>
          <w:szCs w:val="21"/>
        </w:rPr>
        <w:t>财产所有权及风险</w:t>
      </w:r>
    </w:p>
    <w:p>
      <w:pPr>
        <w:pStyle w:val="5"/>
        <w:tabs>
          <w:tab w:val="left" w:pos="644"/>
          <w:tab w:val="left" w:pos="720"/>
        </w:tabs>
        <w:ind w:firstLine="420" w:firstLineChars="200"/>
        <w:rPr>
          <w:rFonts w:ascii="宋体" w:hAnsi="宋体"/>
          <w:szCs w:val="21"/>
        </w:rPr>
      </w:pPr>
      <w:r>
        <w:rPr>
          <w:rFonts w:hint="eastAsia" w:ascii="宋体" w:hAnsi="宋体" w:cs="Arial"/>
          <w:szCs w:val="21"/>
        </w:rPr>
        <w:t>13.</w:t>
      </w:r>
      <w:r>
        <w:rPr>
          <w:rFonts w:ascii="宋体" w:hAnsi="宋体" w:cs="Arial"/>
          <w:szCs w:val="21"/>
        </w:rPr>
        <w:t>1</w:t>
      </w:r>
      <w:r>
        <w:rPr>
          <w:rFonts w:hint="eastAsia" w:ascii="宋体" w:hAnsi="宋体" w:cs="Arial"/>
          <w:szCs w:val="21"/>
        </w:rPr>
        <w:t>放置在乙方处的所有甲方已购买的模具和由甲方提供的物品，由乙方负责保养维护，乙方应以合理的注意和勤勉使用</w:t>
      </w:r>
      <w:r>
        <w:rPr>
          <w:rFonts w:hint="eastAsia" w:ascii="宋体" w:hAnsi="宋体"/>
        </w:rPr>
        <w:t>并进行</w:t>
      </w:r>
      <w:r>
        <w:rPr>
          <w:rFonts w:hint="eastAsia" w:ascii="宋体" w:hAnsi="宋体" w:cs="Arial"/>
          <w:szCs w:val="21"/>
        </w:rPr>
        <w:t>维护。</w:t>
      </w:r>
    </w:p>
    <w:p>
      <w:pPr>
        <w:pStyle w:val="5"/>
        <w:tabs>
          <w:tab w:val="left" w:pos="644"/>
          <w:tab w:val="left" w:pos="720"/>
        </w:tabs>
        <w:ind w:firstLine="420" w:firstLineChars="200"/>
        <w:rPr>
          <w:rFonts w:ascii="宋体" w:hAnsi="宋体"/>
          <w:szCs w:val="21"/>
        </w:rPr>
      </w:pPr>
      <w:r>
        <w:rPr>
          <w:rFonts w:ascii="宋体" w:hAnsi="宋体"/>
          <w:szCs w:val="21"/>
        </w:rPr>
        <w:t>13.2</w:t>
      </w:r>
      <w:r>
        <w:rPr>
          <w:rFonts w:hint="eastAsia" w:ascii="宋体" w:hAnsi="宋体"/>
          <w:szCs w:val="21"/>
        </w:rPr>
        <w:t>上述财产的所有权属于甲方，乙方</w:t>
      </w:r>
      <w:r>
        <w:rPr>
          <w:rFonts w:hint="eastAsia" w:ascii="宋体" w:hAnsi="宋体"/>
        </w:rPr>
        <w:t>不得出售、租赁、出借、抵押、质押、留置或以其它任何方式向第三方处置及设定任何权利负担。</w:t>
      </w:r>
    </w:p>
    <w:p>
      <w:pPr>
        <w:pStyle w:val="5"/>
        <w:tabs>
          <w:tab w:val="left" w:pos="644"/>
          <w:tab w:val="left" w:pos="720"/>
        </w:tabs>
        <w:ind w:firstLine="420" w:firstLineChars="200"/>
        <w:rPr>
          <w:rFonts w:ascii="宋体" w:hAnsi="宋体"/>
          <w:szCs w:val="21"/>
        </w:rPr>
      </w:pPr>
      <w:r>
        <w:rPr>
          <w:rFonts w:ascii="宋体" w:hAnsi="宋体" w:cs="Arial"/>
          <w:szCs w:val="21"/>
        </w:rPr>
        <w:t>13.3</w:t>
      </w:r>
      <w:r>
        <w:rPr>
          <w:rFonts w:hint="eastAsia" w:ascii="宋体" w:hAnsi="宋体" w:cs="Arial"/>
          <w:szCs w:val="21"/>
        </w:rPr>
        <w:t>乙方应对这类财产加以标志或标识，清楚标明，并且其保管应与乙方的财产分开</w:t>
      </w:r>
      <w:r>
        <w:rPr>
          <w:rFonts w:ascii="宋体" w:hAnsi="宋体" w:cs="Arial"/>
          <w:szCs w:val="21"/>
        </w:rPr>
        <w:t>,</w:t>
      </w:r>
      <w:r>
        <w:rPr>
          <w:rFonts w:hint="eastAsia"/>
          <w:szCs w:val="21"/>
        </w:rPr>
        <w:t xml:space="preserve"> 并负责妥善保管</w:t>
      </w:r>
      <w:r>
        <w:rPr>
          <w:rFonts w:hint="eastAsia" w:ascii="宋体" w:hAnsi="宋体" w:cs="Arial"/>
          <w:szCs w:val="21"/>
        </w:rPr>
        <w:t>。</w:t>
      </w:r>
    </w:p>
    <w:p>
      <w:pPr>
        <w:pStyle w:val="5"/>
        <w:tabs>
          <w:tab w:val="left" w:pos="644"/>
          <w:tab w:val="left" w:pos="720"/>
        </w:tabs>
        <w:ind w:firstLine="420" w:firstLineChars="200"/>
        <w:rPr>
          <w:rFonts w:ascii="宋体" w:hAnsi="宋体"/>
          <w:szCs w:val="21"/>
        </w:rPr>
      </w:pPr>
      <w:r>
        <w:rPr>
          <w:rFonts w:ascii="宋体" w:hAnsi="宋体" w:cs="Arial"/>
          <w:szCs w:val="21"/>
        </w:rPr>
        <w:t>13.4</w:t>
      </w:r>
      <w:r>
        <w:rPr>
          <w:rFonts w:hint="eastAsia" w:ascii="宋体" w:hAnsi="宋体" w:cs="Arial"/>
          <w:szCs w:val="21"/>
        </w:rPr>
        <w:t>乙方不能使用或替换甲方的上述财产，除非经甲方书面同意用于满足甲方的订单；乙方也不能复制或报废，除非有甲方的书面许可。</w:t>
      </w:r>
    </w:p>
    <w:p>
      <w:pPr>
        <w:pStyle w:val="5"/>
        <w:tabs>
          <w:tab w:val="left" w:pos="644"/>
          <w:tab w:val="left" w:pos="720"/>
        </w:tabs>
        <w:ind w:firstLine="420" w:firstLineChars="200"/>
        <w:rPr>
          <w:rFonts w:ascii="宋体" w:hAnsi="宋体"/>
          <w:szCs w:val="21"/>
        </w:rPr>
      </w:pPr>
      <w:r>
        <w:rPr>
          <w:rFonts w:ascii="宋体" w:hAnsi="宋体" w:cs="Arial"/>
          <w:szCs w:val="21"/>
        </w:rPr>
        <w:t>13.5</w:t>
      </w:r>
      <w:r>
        <w:rPr>
          <w:rFonts w:hint="eastAsia" w:ascii="宋体" w:hAnsi="宋体" w:cs="Arial"/>
          <w:szCs w:val="21"/>
        </w:rPr>
        <w:t>如果甲方提出要求，乙方将签署财务声明或其它文件，证明本条第1款中所规定的物品所有权，并记录在案。</w:t>
      </w:r>
    </w:p>
    <w:p>
      <w:pPr>
        <w:jc w:val="left"/>
        <w:rPr>
          <w:rFonts w:ascii="宋体" w:hAnsi="宋体"/>
          <w:b/>
          <w:bCs/>
          <w:color w:val="000000"/>
          <w:szCs w:val="21"/>
        </w:rPr>
      </w:pPr>
      <w:r>
        <w:rPr>
          <w:rFonts w:hint="eastAsia" w:asciiTheme="minorEastAsia" w:hAnsiTheme="minorEastAsia" w:eastAsiaTheme="minorEastAsia"/>
          <w:b/>
          <w:szCs w:val="21"/>
        </w:rPr>
        <w:t>1</w:t>
      </w:r>
      <w:r>
        <w:rPr>
          <w:rFonts w:asciiTheme="minorEastAsia" w:hAnsiTheme="minorEastAsia" w:eastAsiaTheme="minorEastAsia"/>
          <w:b/>
          <w:szCs w:val="21"/>
        </w:rPr>
        <w:t>4</w:t>
      </w:r>
      <w:r>
        <w:rPr>
          <w:rFonts w:hint="eastAsia" w:asciiTheme="minorEastAsia" w:hAnsiTheme="minorEastAsia" w:eastAsiaTheme="minorEastAsia"/>
          <w:b/>
          <w:szCs w:val="21"/>
        </w:rPr>
        <w:t>、</w:t>
      </w:r>
      <w:r>
        <w:rPr>
          <w:rFonts w:hint="eastAsia" w:ascii="宋体" w:hAnsi="宋体"/>
          <w:b/>
          <w:bCs/>
          <w:color w:val="000000"/>
          <w:szCs w:val="21"/>
        </w:rPr>
        <w:t>知识产权保护</w:t>
      </w:r>
    </w:p>
    <w:p>
      <w:pPr>
        <w:tabs>
          <w:tab w:val="left" w:pos="720"/>
        </w:tabs>
        <w:ind w:firstLine="420" w:firstLineChars="200"/>
        <w:jc w:val="left"/>
        <w:rPr>
          <w:rFonts w:ascii="宋体" w:hAnsi="宋体"/>
          <w:szCs w:val="21"/>
        </w:rPr>
      </w:pPr>
      <w:r>
        <w:rPr>
          <w:rFonts w:hint="eastAsia" w:ascii="宋体" w:hAnsi="宋体"/>
          <w:szCs w:val="21"/>
        </w:rPr>
        <w:t>14.</w:t>
      </w:r>
      <w:r>
        <w:rPr>
          <w:rFonts w:ascii="宋体" w:hAnsi="宋体"/>
          <w:szCs w:val="21"/>
        </w:rPr>
        <w:t>1</w:t>
      </w:r>
      <w:r>
        <w:rPr>
          <w:rFonts w:hint="eastAsia" w:ascii="宋体" w:hAnsi="宋体"/>
          <w:szCs w:val="21"/>
        </w:rPr>
        <w:t>乙方保证所有产品的生产工艺不侵犯或违反甲方及第三方的专利权、设计权、版权、商标权、软件的著作权或其他专有权。如有任何第三方指控乙方产品有违反本条保证且有证据证明，乙方应自行承担费用并采取下列补救措施中最先可行的，并赔偿甲方遭受的损失：（</w:t>
      </w:r>
      <w:r>
        <w:rPr>
          <w:rFonts w:ascii="宋体" w:hAnsi="宋体"/>
          <w:szCs w:val="21"/>
        </w:rPr>
        <w:t>1</w:t>
      </w:r>
      <w:r>
        <w:rPr>
          <w:rFonts w:hint="eastAsia" w:ascii="宋体" w:hAnsi="宋体"/>
          <w:szCs w:val="21"/>
        </w:rPr>
        <w:t>）</w:t>
      </w:r>
      <w:r>
        <w:rPr>
          <w:rFonts w:hint="eastAsia" w:ascii="MS Mincho" w:hAnsi="MS Mincho" w:eastAsia="MS Mincho" w:cs="MS Mincho"/>
          <w:szCs w:val="21"/>
        </w:rPr>
        <w:t>使</w:t>
      </w:r>
      <w:r>
        <w:rPr>
          <w:rFonts w:hint="eastAsia" w:ascii="宋体" w:hAnsi="宋体"/>
          <w:szCs w:val="21"/>
        </w:rPr>
        <w:t>甲方得到继续使用和销售符合本合同的产品的权利；（</w:t>
      </w:r>
      <w:r>
        <w:rPr>
          <w:rFonts w:ascii="宋体" w:hAnsi="宋体"/>
          <w:szCs w:val="21"/>
        </w:rPr>
        <w:t>2</w:t>
      </w:r>
      <w:r>
        <w:rPr>
          <w:rFonts w:hint="eastAsia" w:ascii="宋体" w:hAnsi="宋体"/>
          <w:szCs w:val="21"/>
        </w:rPr>
        <w:t>）修改产品，使其不侵权并符合本合同；（</w:t>
      </w:r>
      <w:r>
        <w:rPr>
          <w:rFonts w:ascii="宋体" w:hAnsi="宋体"/>
          <w:szCs w:val="21"/>
        </w:rPr>
        <w:t>3</w:t>
      </w:r>
      <w:r>
        <w:rPr>
          <w:rFonts w:hint="eastAsia" w:ascii="宋体" w:hAnsi="宋体"/>
          <w:szCs w:val="21"/>
        </w:rPr>
        <w:t>）用不侵权且符合本合同的产品于索赔发生或</w:t>
      </w:r>
      <w:r>
        <w:rPr>
          <w:szCs w:val="21"/>
        </w:rPr>
        <w:t>甲方</w:t>
      </w:r>
      <w:r>
        <w:rPr>
          <w:rFonts w:hint="eastAsia" w:ascii="宋体" w:hAnsi="宋体"/>
          <w:szCs w:val="21"/>
        </w:rPr>
        <w:t>通</w:t>
      </w:r>
      <w:r>
        <w:rPr>
          <w:szCs w:val="21"/>
        </w:rPr>
        <w:t>知</w:t>
      </w:r>
      <w:r>
        <w:rPr>
          <w:rFonts w:hint="eastAsia" w:ascii="宋体" w:hAnsi="宋体"/>
          <w:szCs w:val="21"/>
        </w:rPr>
        <w:t>之</w:t>
      </w:r>
      <w:r>
        <w:rPr>
          <w:szCs w:val="21"/>
        </w:rPr>
        <w:t>日</w:t>
      </w:r>
      <w:r>
        <w:rPr>
          <w:rFonts w:hint="eastAsia" w:ascii="宋体" w:hAnsi="宋体" w:cs="宋体"/>
          <w:szCs w:val="21"/>
        </w:rPr>
        <w:t>起</w:t>
      </w:r>
      <w:r>
        <w:rPr>
          <w:rFonts w:hint="eastAsia" w:ascii="宋体" w:hAnsi="宋体"/>
          <w:szCs w:val="21"/>
        </w:rPr>
        <w:t>10日内替换该产品；</w:t>
      </w:r>
    </w:p>
    <w:p>
      <w:pPr>
        <w:tabs>
          <w:tab w:val="left" w:pos="720"/>
        </w:tabs>
        <w:ind w:firstLine="420" w:firstLineChars="200"/>
        <w:jc w:val="left"/>
        <w:rPr>
          <w:rFonts w:ascii="宋体" w:hAnsi="宋体"/>
          <w:szCs w:val="21"/>
        </w:rPr>
      </w:pPr>
      <w:r>
        <w:rPr>
          <w:rFonts w:ascii="宋体" w:hAnsi="宋体"/>
          <w:szCs w:val="21"/>
        </w:rPr>
        <w:t>14.2</w:t>
      </w:r>
      <w:r>
        <w:rPr>
          <w:rFonts w:hint="eastAsia" w:ascii="宋体" w:hAnsi="宋体"/>
          <w:color w:val="000000"/>
          <w:szCs w:val="21"/>
        </w:rPr>
        <w:t>乙方为履行本合同</w:t>
      </w:r>
      <w:r>
        <w:rPr>
          <w:rFonts w:hint="eastAsia" w:ascii="宋体" w:hAnsi="宋体"/>
          <w:szCs w:val="21"/>
        </w:rPr>
        <w:t>使用自有知识产权的，乙方同意以永久性的、不可撤销的、不可转让的、免费的、可分许可的方式授权予甲方及其关联方实体和客户使用。</w:t>
      </w:r>
      <w:r>
        <w:rPr>
          <w:rFonts w:ascii="宋体" w:hAnsi="宋体"/>
          <w:szCs w:val="21"/>
        </w:rPr>
        <w:t xml:space="preserve"> </w:t>
      </w:r>
    </w:p>
    <w:p>
      <w:pPr>
        <w:tabs>
          <w:tab w:val="left" w:pos="720"/>
        </w:tabs>
        <w:ind w:firstLine="420" w:firstLineChars="200"/>
        <w:jc w:val="left"/>
        <w:rPr>
          <w:rFonts w:ascii="宋体" w:hAnsi="宋体"/>
          <w:szCs w:val="21"/>
        </w:rPr>
      </w:pPr>
      <w:r>
        <w:rPr>
          <w:rFonts w:ascii="宋体" w:hAnsi="宋体"/>
          <w:szCs w:val="21"/>
        </w:rPr>
        <w:t xml:space="preserve">14.3 </w:t>
      </w:r>
      <w:r>
        <w:rPr>
          <w:rFonts w:hint="eastAsia" w:ascii="宋体" w:hAnsi="宋体"/>
          <w:szCs w:val="21"/>
        </w:rPr>
        <w:t>甲方提供给乙方的用于生产本合同项下产品的设计、图纸、检验标准及产品的技术规范或规格要求内包含的该产品的设计、生产、组装或检测方法或工艺以及提供的模具和外协材料等知识产权及所有权归甲方所有，并保证不侵犯或违反第三方的专利权、设计权、版权、商标权、软件的著作权或其他专有权。甲方应保护乙方免受基于甲方提供产品的设计侵犯其他第</w:t>
      </w:r>
      <w:r>
        <w:rPr>
          <w:rFonts w:ascii="Arial Unicode MS" w:hAnsi="Arial Unicode MS" w:cs="Arial Unicode MS"/>
          <w:szCs w:val="21"/>
        </w:rPr>
        <w:t>三</w:t>
      </w:r>
      <w:r>
        <w:rPr>
          <w:rFonts w:hint="eastAsia" w:ascii="宋体" w:hAnsi="宋体"/>
          <w:szCs w:val="21"/>
        </w:rPr>
        <w:t>方的知识产权而产生的索赔。但该等损失是由于乙方原因</w:t>
      </w:r>
      <w:r>
        <w:rPr>
          <w:rFonts w:hint="eastAsia" w:ascii="宋体" w:hAnsi="宋体" w:cs="宋体"/>
          <w:szCs w:val="21"/>
        </w:rPr>
        <w:t>引起的</w:t>
      </w:r>
      <w:r>
        <w:rPr>
          <w:rFonts w:hint="eastAsia" w:ascii="MS Mincho" w:hAnsi="MS Mincho" w:eastAsia="MS Mincho" w:cs="MS Mincho"/>
          <w:szCs w:val="21"/>
        </w:rPr>
        <w:t>除</w:t>
      </w:r>
      <w:r>
        <w:rPr>
          <w:rFonts w:hint="eastAsia" w:ascii="宋体" w:hAnsi="宋体" w:cs="宋体"/>
          <w:szCs w:val="21"/>
        </w:rPr>
        <w:t>外</w:t>
      </w:r>
      <w:r>
        <w:rPr>
          <w:rFonts w:hint="eastAsia" w:ascii="宋体" w:hAnsi="宋体"/>
          <w:szCs w:val="21"/>
        </w:rPr>
        <w:t>。</w:t>
      </w:r>
    </w:p>
    <w:p>
      <w:pPr>
        <w:tabs>
          <w:tab w:val="left" w:pos="720"/>
        </w:tabs>
        <w:ind w:firstLine="420" w:firstLineChars="200"/>
        <w:jc w:val="left"/>
        <w:rPr>
          <w:rFonts w:ascii="宋体" w:hAnsi="宋体"/>
          <w:szCs w:val="21"/>
        </w:rPr>
      </w:pPr>
      <w:r>
        <w:rPr>
          <w:rFonts w:hint="eastAsia" w:ascii="宋体" w:hAnsi="宋体"/>
          <w:szCs w:val="21"/>
        </w:rPr>
        <w:t>14.4 除非双方另有书面约定，本合同产品的所有知识产权，包括但不限于专利权、专利申请权、设计权、版权、商标权、软件的著作权</w:t>
      </w:r>
      <w:r>
        <w:rPr>
          <w:rFonts w:hint="eastAsia" w:ascii="MS Mincho" w:hAnsi="MS Mincho" w:eastAsia="MS Mincho" w:cs="MS Mincho"/>
          <w:szCs w:val="21"/>
        </w:rPr>
        <w:t>或</w:t>
      </w:r>
      <w:r>
        <w:rPr>
          <w:rFonts w:hint="eastAsia" w:ascii="宋体" w:hAnsi="宋体"/>
          <w:szCs w:val="21"/>
        </w:rPr>
        <w:t>其他专有权属于甲方。除非双方另有书面约定，不论本合同是否终止，乙方没有权利将属于</w:t>
      </w:r>
      <w:r>
        <w:rPr>
          <w:rFonts w:ascii="宋体" w:hAnsi="宋体"/>
          <w:szCs w:val="21"/>
        </w:rPr>
        <w:t>甲方的知识产权</w:t>
      </w:r>
      <w:r>
        <w:rPr>
          <w:rFonts w:hint="eastAsia" w:ascii="宋体" w:hAnsi="宋体"/>
          <w:szCs w:val="21"/>
        </w:rPr>
        <w:t>以包括但不限于转让、销售、许可等任何形式授予给</w:t>
      </w:r>
      <w:r>
        <w:rPr>
          <w:rFonts w:hint="eastAsia" w:ascii="宋体" w:hAnsi="宋体" w:cs="宋体"/>
          <w:szCs w:val="21"/>
        </w:rPr>
        <w:t>第</w:t>
      </w:r>
      <w:r>
        <w:rPr>
          <w:rFonts w:hint="eastAsia" w:ascii="宋体" w:hAnsi="宋体"/>
          <w:szCs w:val="21"/>
        </w:rPr>
        <w:t>三方，同时也没有权利基于本合同之外的目的生产、销售本合同产品。</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14.5因履行本合同产生的新知识产权，如涉及使用甲方提供的图纸、规格明细、资料、供给物料、模具等以及其信息的或者口头披露的技术信息的，该发明创造产生的专利权（发明、实用新型、外观设计）、著作权和其他知识产权，均属甲方所有。乙方单独取得上述专利权（发明、实用新型、外观设计）、著作权和其他知识产权的，应按甲方的要求将其无偿转让给甲方。</w:t>
      </w:r>
    </w:p>
    <w:p>
      <w:pPr>
        <w:tabs>
          <w:tab w:val="left" w:pos="1080"/>
        </w:tabs>
        <w:jc w:val="left"/>
        <w:rPr>
          <w:rFonts w:ascii="宋体" w:hAnsi="宋体" w:cs="Arial"/>
          <w:szCs w:val="21"/>
        </w:rPr>
      </w:pPr>
      <w:r>
        <w:rPr>
          <w:rFonts w:hint="eastAsia" w:asciiTheme="minorEastAsia" w:hAnsiTheme="minorEastAsia" w:eastAsiaTheme="minorEastAsia"/>
          <w:b/>
          <w:szCs w:val="21"/>
        </w:rPr>
        <w:t>15、</w:t>
      </w:r>
      <w:r>
        <w:rPr>
          <w:rFonts w:hint="eastAsia" w:ascii="宋体" w:hAnsi="宋体"/>
          <w:b/>
          <w:szCs w:val="21"/>
        </w:rPr>
        <w:t>相关规定的遵守</w:t>
      </w:r>
    </w:p>
    <w:p>
      <w:pPr>
        <w:tabs>
          <w:tab w:val="left" w:pos="1080"/>
        </w:tabs>
        <w:ind w:firstLine="420" w:firstLineChars="200"/>
        <w:jc w:val="left"/>
        <w:rPr>
          <w:rFonts w:ascii="宋体" w:hAnsi="宋体" w:cs="Arial"/>
          <w:szCs w:val="21"/>
        </w:rPr>
      </w:pPr>
      <w:r>
        <w:rPr>
          <w:rFonts w:ascii="宋体" w:hAnsi="宋体" w:cs="Arial"/>
          <w:szCs w:val="21"/>
        </w:rPr>
        <w:t>15.1</w:t>
      </w:r>
      <w:r>
        <w:rPr>
          <w:rFonts w:hint="eastAsia" w:ascii="宋体" w:hAnsi="宋体"/>
          <w:bCs/>
          <w:szCs w:val="21"/>
        </w:rPr>
        <w:t>遵守法律，乙方承诺在任何时候均应遵循中国的法律法规。</w:t>
      </w:r>
    </w:p>
    <w:p>
      <w:pPr>
        <w:adjustRightInd w:val="0"/>
        <w:snapToGrid w:val="0"/>
        <w:spacing w:line="400" w:lineRule="exact"/>
        <w:ind w:firstLine="420" w:firstLineChars="200"/>
        <w:rPr>
          <w:rFonts w:ascii="宋体" w:hAnsi="宋体"/>
          <w:bCs/>
          <w:szCs w:val="21"/>
        </w:rPr>
      </w:pPr>
      <w:r>
        <w:rPr>
          <w:rFonts w:ascii="宋体" w:hAnsi="宋体"/>
          <w:bCs/>
          <w:szCs w:val="21"/>
        </w:rPr>
        <w:t>15.2</w:t>
      </w:r>
      <w:r>
        <w:rPr>
          <w:rFonts w:hint="eastAsia" w:ascii="宋体" w:hAnsi="宋体"/>
          <w:bCs/>
          <w:szCs w:val="21"/>
        </w:rPr>
        <w:t>禁止贿赂</w:t>
      </w:r>
      <w:r>
        <w:rPr>
          <w:rFonts w:ascii="宋体" w:hAnsi="宋体"/>
          <w:bCs/>
          <w:szCs w:val="21"/>
        </w:rPr>
        <w:t>，</w:t>
      </w:r>
      <w:r>
        <w:rPr>
          <w:rFonts w:hint="eastAsia" w:ascii="宋体" w:hAnsi="宋体"/>
          <w:bCs/>
          <w:szCs w:val="21"/>
        </w:rPr>
        <w:t>乙方及其工作人员不得以公司或私人名义向任何</w:t>
      </w:r>
      <w:r>
        <w:rPr>
          <w:rFonts w:hint="eastAsia" w:ascii="宋体" w:hAnsi="宋体"/>
          <w:szCs w:val="21"/>
        </w:rPr>
        <w:t>甲方</w:t>
      </w:r>
      <w:r>
        <w:rPr>
          <w:rFonts w:hint="eastAsia" w:ascii="宋体" w:hAnsi="宋体"/>
          <w:bCs/>
          <w:szCs w:val="21"/>
        </w:rPr>
        <w:t>的员工、代表或代理等直接</w:t>
      </w:r>
      <w:r>
        <w:rPr>
          <w:rFonts w:hint="eastAsia" w:asciiTheme="minorEastAsia" w:hAnsiTheme="minorEastAsia" w:eastAsiaTheme="minorEastAsia"/>
          <w:szCs w:val="21"/>
        </w:rPr>
        <w:t>、</w:t>
      </w:r>
      <w:r>
        <w:rPr>
          <w:rFonts w:hint="eastAsia" w:ascii="宋体" w:hAnsi="宋体"/>
          <w:bCs/>
          <w:szCs w:val="21"/>
        </w:rPr>
        <w:t>或间接赠送礼金、贵重礼品、有价证券，或采取其他变相手段提供不正当利益。如有违反且查证属实，</w:t>
      </w:r>
      <w:r>
        <w:rPr>
          <w:rFonts w:hint="eastAsia" w:ascii="宋体" w:hAnsi="宋体"/>
          <w:szCs w:val="21"/>
        </w:rPr>
        <w:t>甲方</w:t>
      </w:r>
      <w:r>
        <w:rPr>
          <w:rFonts w:hint="eastAsia" w:ascii="宋体" w:hAnsi="宋体"/>
          <w:bCs/>
          <w:szCs w:val="21"/>
        </w:rPr>
        <w:t>有权单方面终止本合同，同时保留追究乙方法律责任的权利。</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rPr>
        <w:t>6、违约责任</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6.1 在本协议约定的范围内，乙方必须接受甲方的采购订单和满足甲方要求的交期。若因特殊原因不能按时交货，乙方必须第一时间（最晚在甲方要求交期前3个工作日）以书面形式通知甲方并经甲方书面同意，否则视为乙方拒绝交货。</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6.2乙方在接到甲方采购订单后逾期交付产品的，每逾期一天，甲方有权要求乙方支付逾期交付产品价值总额【万分之五】的违约金，</w:t>
      </w:r>
      <w:r>
        <w:rPr>
          <w:rFonts w:hint="eastAsia" w:asciiTheme="minorEastAsia" w:hAnsiTheme="minorEastAsia" w:eastAsiaTheme="minorEastAsia"/>
          <w:szCs w:val="21"/>
        </w:rPr>
        <w:t>因此给甲方造成的损失由乙方承担</w:t>
      </w:r>
      <w:r>
        <w:rPr>
          <w:rFonts w:hint="eastAsia" w:ascii="宋体" w:hAnsi="宋体"/>
          <w:szCs w:val="21"/>
        </w:rPr>
        <w:t>。乙方支付违约金后，其继续交货的责任不能解除。如延期交付导致甲方认为继续履行该采购订单已没有意义，则甲方有权解除该采购订单，乙方应按照解除订单载明总金额的30%向甲方支付违约金；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16.3除不可抗力、超出本合同约定供应数量（按月确定）、超过本合同约定的标准交货期外，如乙方拒绝采购订单或交货，视为乙方违约，乙方应赔偿甲方停产、停线更换供应商的全部损失，损失无法计算的，乙方同意免除不接单前一年内供货金额</w:t>
      </w:r>
      <w:r>
        <w:rPr>
          <w:rFonts w:ascii="宋体" w:hAnsi="宋体"/>
          <w:szCs w:val="21"/>
        </w:rPr>
        <w:t>20%的货款</w:t>
      </w:r>
      <w:r>
        <w:rPr>
          <w:rFonts w:hint="eastAsia" w:ascii="宋体" w:hAnsi="宋体"/>
          <w:szCs w:val="21"/>
        </w:rPr>
        <w:t>作为对甲方损失的赔偿，乙方还应按照被拒绝订单载明的总金额的30%向甲方支付违约金；如乙方拒绝采购订单或交货达2次，甲方有权解除本协议且不承担任何责任。</w:t>
      </w:r>
    </w:p>
    <w:p>
      <w:pPr>
        <w:adjustRightInd w:val="0"/>
        <w:snapToGrid w:val="0"/>
        <w:spacing w:line="400" w:lineRule="exact"/>
        <w:ind w:firstLine="420" w:firstLineChars="200"/>
        <w:rPr>
          <w:rFonts w:ascii="宋体" w:hAnsi="宋体"/>
          <w:szCs w:val="21"/>
        </w:rPr>
      </w:pPr>
      <w:r>
        <w:rPr>
          <w:rFonts w:hint="eastAsia" w:ascii="宋体" w:hAnsi="宋体"/>
          <w:szCs w:val="21"/>
        </w:rPr>
        <w:t>16</w:t>
      </w:r>
      <w:r>
        <w:rPr>
          <w:rFonts w:ascii="宋体" w:hAnsi="宋体"/>
          <w:szCs w:val="21"/>
        </w:rPr>
        <w:t>.</w:t>
      </w:r>
      <w:r>
        <w:rPr>
          <w:rFonts w:hint="eastAsia" w:ascii="宋体" w:hAnsi="宋体"/>
          <w:szCs w:val="21"/>
        </w:rPr>
        <w:t>4</w:t>
      </w:r>
      <w:r>
        <w:rPr>
          <w:rFonts w:ascii="宋体" w:hAnsi="宋体"/>
          <w:szCs w:val="21"/>
        </w:rPr>
        <w:t xml:space="preserve"> </w:t>
      </w:r>
      <w:r>
        <w:rPr>
          <w:rFonts w:hint="eastAsia" w:ascii="宋体" w:hAnsi="宋体"/>
          <w:szCs w:val="21"/>
        </w:rPr>
        <w:t>乙方交付产品的品质、性能、技术标准、质量要求不符合本协议约定的，甲方有权向乙方提出更换产品及索赔或解除订单并作退货处理。乙方应无任何条件在甲方提出之日起 3日内免费退换产品，由此造成的时间延误视为乙方逾期交货，按照逾期交货承担违约责任。如因此给甲方造成生产中断、销售订单违约等损失的，乙方应按采购</w:t>
      </w:r>
      <w:r>
        <w:rPr>
          <w:rFonts w:ascii="宋体" w:hAnsi="宋体"/>
          <w:szCs w:val="21"/>
        </w:rPr>
        <w:t>订单</w:t>
      </w:r>
      <w:r>
        <w:rPr>
          <w:rFonts w:hint="eastAsia" w:ascii="宋体" w:hAnsi="宋体"/>
          <w:szCs w:val="21"/>
        </w:rPr>
        <w:t>总价款的30%向甲方支付赔偿金，如甲方的实际损失高于采购</w:t>
      </w:r>
      <w:r>
        <w:rPr>
          <w:rFonts w:ascii="宋体" w:hAnsi="宋体"/>
          <w:szCs w:val="21"/>
        </w:rPr>
        <w:t>订单</w:t>
      </w:r>
      <w:r>
        <w:rPr>
          <w:rFonts w:hint="eastAsia" w:ascii="宋体" w:hAnsi="宋体"/>
          <w:szCs w:val="21"/>
        </w:rPr>
        <w:t>总价款的30%，乙方还应向甲方支付差额部分。甲方解除订单并作退货处理的，乙方应在甲方提出之日起3日内无条件退货，乙方除返还甲方已付款项外，还应按照采购订单总金额的30%向甲方支付违约金。</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6.5 质保期内，如</w:t>
      </w:r>
      <w:r>
        <w:rPr>
          <w:rFonts w:hint="eastAsia" w:asciiTheme="minorEastAsia" w:hAnsiTheme="minorEastAsia" w:eastAsiaTheme="minorEastAsia"/>
          <w:szCs w:val="21"/>
        </w:rPr>
        <w:t>产品</w:t>
      </w:r>
      <w:r>
        <w:rPr>
          <w:rFonts w:hint="eastAsia" w:ascii="宋体" w:hAnsi="宋体"/>
          <w:szCs w:val="21"/>
        </w:rPr>
        <w:t>经2次换货仍未达到技术要求的，甲方有权终止本协议，并对该订单产品做退货处理，乙方应按采购订单总价款的30%向甲方支付违约金，</w:t>
      </w:r>
      <w:r>
        <w:rPr>
          <w:rFonts w:hint="eastAsia" w:asciiTheme="minorEastAsia" w:hAnsiTheme="minorEastAsia" w:eastAsiaTheme="minorEastAsia"/>
          <w:szCs w:val="21"/>
        </w:rPr>
        <w:t>如违约金不足以弥补甲方损失的，乙方应另行赔偿给甲方造成的损失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 xml:space="preserve">6.6 </w:t>
      </w:r>
      <w:r>
        <w:rPr>
          <w:rFonts w:ascii="宋体" w:hAnsi="宋体"/>
          <w:szCs w:val="21"/>
        </w:rPr>
        <w:t>乙方保证本协议项下产品的权利无瑕疵，包括产品所有权及知识产权等权利无瑕疵。如任何第三方经法院（或仲裁机构）裁决有权对上述产品主张权利或国家机关依法对产品进行没收查处的，乙方除应向甲方返还已收款项外，还应按</w:t>
      </w:r>
      <w:r>
        <w:rPr>
          <w:rFonts w:hint="eastAsia" w:ascii="宋体" w:hAnsi="宋体"/>
          <w:szCs w:val="21"/>
        </w:rPr>
        <w:t>合同</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16.7 如产品是因包装不善或运输过程中造成的表面损坏或不影响产品使用质量的瑕疵，甲方同意降价接收的，乙方应先对产品进行修理或复原，修复效果经甲方确认后可降价接收。同时应赔偿甲方按照第16.9款确认的损失金额。如上述的问题在产品上批量性出现或多次出现，并且甲方不同意降价接收的，甲方可要求退换产品，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16.8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6.9甲方的损失包括但不限于：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6.10甲方有权从采购订单款项中直接扣除乙方违约金，</w:t>
      </w:r>
      <w:r>
        <w:rPr>
          <w:rFonts w:hint="eastAsia" w:asciiTheme="minorEastAsia" w:hAnsiTheme="minorEastAsia" w:eastAsiaTheme="minorEastAsia"/>
          <w:szCs w:val="21"/>
        </w:rPr>
        <w:t>如该违约金不足以弥补甲方损失的，乙方应赔偿超过违约金部分的损失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Theme="minorEastAsia" w:hAnsiTheme="minorEastAsia" w:eastAsiaTheme="minorEastAsia"/>
          <w:szCs w:val="21"/>
        </w:rPr>
        <w:t>16.11如因产品质量问题（含因产品包装不当导致的质量问题）给甲方或第三方造成损失，乙方应承担全部赔偿责任，包括但不仅限于相关诉讼、索赔费用以及甲方由此遭受的损害、损失和甲方为此支出的相关费用。</w:t>
      </w:r>
    </w:p>
    <w:p>
      <w:pPr>
        <w:adjustRightInd w:val="0"/>
        <w:snapToGrid w:val="0"/>
        <w:spacing w:line="400" w:lineRule="exact"/>
        <w:ind w:firstLine="438"/>
        <w:rPr>
          <w:rFonts w:ascii="宋体" w:hAnsi="宋体"/>
          <w:szCs w:val="21"/>
        </w:rPr>
      </w:pPr>
      <w:r>
        <w:rPr>
          <w:rFonts w:ascii="宋体" w:hAnsi="宋体"/>
          <w:bCs/>
          <w:spacing w:val="4"/>
          <w:szCs w:val="21"/>
        </w:rPr>
        <w:t>1</w:t>
      </w:r>
      <w:r>
        <w:rPr>
          <w:rFonts w:hint="eastAsia" w:ascii="宋体" w:hAnsi="宋体"/>
          <w:bCs/>
          <w:spacing w:val="4"/>
          <w:szCs w:val="21"/>
        </w:rPr>
        <w:t>6</w:t>
      </w:r>
      <w:r>
        <w:rPr>
          <w:rFonts w:ascii="宋体" w:hAnsi="宋体"/>
          <w:bCs/>
          <w:spacing w:val="4"/>
          <w:szCs w:val="21"/>
        </w:rPr>
        <w:t>.1</w:t>
      </w:r>
      <w:r>
        <w:rPr>
          <w:rFonts w:hint="eastAsia" w:ascii="宋体" w:hAnsi="宋体"/>
          <w:bCs/>
          <w:spacing w:val="4"/>
          <w:szCs w:val="21"/>
        </w:rPr>
        <w:t>2</w:t>
      </w:r>
      <w:r>
        <w:rPr>
          <w:rFonts w:hint="eastAsia" w:ascii="宋体" w:hAnsi="宋体"/>
          <w:szCs w:val="21"/>
        </w:rPr>
        <w:t xml:space="preserve">如发生以上的情形，甲方可同时要求对乙方的工厂和生产情况进行审核，乙方应积极配合。 </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asciiTheme="minorEastAsia" w:hAnsiTheme="minorEastAsia" w:eastAsiaTheme="minorEastAsia"/>
          <w:b/>
          <w:bCs/>
          <w:spacing w:val="4"/>
          <w:szCs w:val="21"/>
        </w:rPr>
        <w:t>1</w:t>
      </w:r>
      <w:r>
        <w:rPr>
          <w:rFonts w:hint="eastAsia" w:asciiTheme="minorEastAsia" w:hAnsiTheme="minorEastAsia" w:eastAsiaTheme="minorEastAsia"/>
          <w:b/>
          <w:bCs/>
          <w:spacing w:val="4"/>
          <w:szCs w:val="21"/>
        </w:rPr>
        <w:t>7、不可抗力</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17.1“不可抗力”指不能预见、不能避免并不能克服的客观情况。这类情况包括但不限于地震、台风、洪水、火灾、战争、政府行为、传染病、重大疫情或者其他公认的或双方认可的无法预见、避免或者控制的情况。</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17.2如果发生不可抗力，一方在本协议项下受不可抗力影响的义务在不可抗力造成的延误期间自动中止，并且其履行期限应自动延长。延误期间从一方收到提出受不可抗力影响的另一方书面通知之日起计算，至双方共同确认不可抗力影响结束之日止，延长期间为中止的期间。受不可抗力影响的一方无须为此承担违约责任。因受不可抗力影响的一方延迟通知导致的扩大损失除外。受不可抗力影响延长期限超过30日影响甲方生产的，甲方有权单方解除本协议且不承担任何违约责任。</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17.3提出受不可抗力影响的一方应在不可抗力发生之日起3个工作日内书面通知另一方，并且在不可抗力发生之后十（10）个工作日内向另一方提供不可抗力发生以及持续期间的充分证据。提出受不可抗力影响的一方还应尽一切合理的努力排除不可抗力所带来的影响。</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hint="eastAsia" w:asciiTheme="minorEastAsia" w:hAnsiTheme="minorEastAsia" w:eastAsiaTheme="minorEastAsia"/>
          <w:b/>
          <w:bCs/>
          <w:spacing w:val="4"/>
          <w:szCs w:val="21"/>
        </w:rPr>
        <w:t>18、合同的变更和解除</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18.1当事人双方协商一致，可以书面变更或解除本协议。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18.2发生下列情况之一时，一方可以解除本协议。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18.2.1由于不可抗力或不可归责于双方的原因致使本协议的目的无法实现的；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18.2.2另一方破产、清算或丧失实际履约能力的；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18.2.3本协议约定的合同解除条件成就的。</w:t>
      </w:r>
    </w:p>
    <w:p>
      <w:pPr>
        <w:adjustRightInd w:val="0"/>
        <w:snapToGrid w:val="0"/>
        <w:spacing w:line="400" w:lineRule="exact"/>
        <w:ind w:firstLine="436" w:firstLineChars="200"/>
        <w:rPr>
          <w:rFonts w:ascii="宋体" w:hAnsi="宋体" w:cs="宋体"/>
          <w:bCs/>
          <w:spacing w:val="4"/>
          <w:szCs w:val="21"/>
        </w:rPr>
      </w:pPr>
      <w:r>
        <w:rPr>
          <w:rFonts w:hint="eastAsia" w:ascii="宋体" w:hAnsi="宋体" w:cs="宋体"/>
          <w:bCs/>
          <w:spacing w:val="4"/>
          <w:szCs w:val="21"/>
        </w:rPr>
        <w:t>18.3任何一方依据本条第2款解除合同需书面通知对方，本协议自通知到达之日起解除。</w:t>
      </w:r>
    </w:p>
    <w:p>
      <w:pPr>
        <w:spacing w:line="276" w:lineRule="auto"/>
        <w:jc w:val="left"/>
        <w:rPr>
          <w:rFonts w:ascii="宋体" w:hAnsi="宋体"/>
          <w:b/>
          <w:color w:val="000000"/>
          <w:szCs w:val="21"/>
        </w:rPr>
      </w:pPr>
      <w:r>
        <w:rPr>
          <w:rFonts w:hint="eastAsia" w:ascii="宋体" w:hAnsi="宋体"/>
          <w:b/>
          <w:bCs/>
          <w:color w:val="000000"/>
          <w:szCs w:val="21"/>
        </w:rPr>
        <w:t>19、</w:t>
      </w:r>
      <w:r>
        <w:rPr>
          <w:rFonts w:hint="eastAsia" w:ascii="宋体" w:hAnsi="宋体"/>
          <w:b/>
          <w:color w:val="000000"/>
          <w:szCs w:val="21"/>
        </w:rPr>
        <w:t>保密条款</w:t>
      </w:r>
    </w:p>
    <w:p>
      <w:pPr>
        <w:pStyle w:val="7"/>
        <w:spacing w:line="276" w:lineRule="auto"/>
        <w:ind w:firstLine="420"/>
        <w:jc w:val="left"/>
        <w:rPr>
          <w:rFonts w:ascii="宋体" w:hAnsi="宋体"/>
          <w:sz w:val="21"/>
          <w:szCs w:val="21"/>
        </w:rPr>
      </w:pPr>
      <w:bookmarkStart w:id="66" w:name="OLE_LINK7"/>
      <w:bookmarkStart w:id="67" w:name="OLE_LINK8"/>
      <w:r>
        <w:rPr>
          <w:rFonts w:ascii="宋体" w:hAnsi="宋体"/>
          <w:sz w:val="21"/>
          <w:szCs w:val="21"/>
        </w:rPr>
        <w:t>19.</w:t>
      </w:r>
      <w:bookmarkEnd w:id="66"/>
      <w:bookmarkEnd w:id="67"/>
      <w:r>
        <w:rPr>
          <w:rFonts w:hint="eastAsia" w:ascii="宋体" w:hAnsi="宋体"/>
          <w:sz w:val="21"/>
          <w:szCs w:val="21"/>
        </w:rPr>
        <w:t>1乙方不得以任何理由或形式向第三方泄露甲方交付的加工设计图纸及相关资料。乙方不得复制甲方图纸资料且在交货时将本合同附件中的图纸资料一起交还给甲方。乙方有对甲方设计图纸、相关技术资料、电子版设计图等技术信息严格保密的义务。对涉及加工件需要经过第三方加工处理的，乙方需事先告知甲方，经甲方书面确认不会造成相关保密信息泄露或第三方承诺遵守本条约并承担保密义务后方可由第三方加工处理。</w:t>
      </w:r>
    </w:p>
    <w:p>
      <w:pPr>
        <w:pStyle w:val="7"/>
        <w:spacing w:line="276" w:lineRule="auto"/>
        <w:ind w:firstLine="420"/>
        <w:jc w:val="left"/>
        <w:rPr>
          <w:rFonts w:ascii="宋体" w:hAnsi="宋体"/>
          <w:sz w:val="21"/>
          <w:szCs w:val="21"/>
        </w:rPr>
      </w:pPr>
      <w:r>
        <w:rPr>
          <w:rFonts w:hint="eastAsia" w:ascii="宋体" w:hAnsi="宋体"/>
          <w:sz w:val="21"/>
          <w:szCs w:val="21"/>
        </w:rPr>
        <w:t xml:space="preserve">19.2乙方应长期遵守本条之保密义务，直至保密信息被合法公开时止，如乙方违反保密义务，则应向甲方支付不低于500000元的损失赔偿金。  </w:t>
      </w:r>
    </w:p>
    <w:p>
      <w:pPr>
        <w:pStyle w:val="7"/>
        <w:spacing w:line="276" w:lineRule="auto"/>
        <w:ind w:firstLine="420"/>
        <w:jc w:val="left"/>
        <w:rPr>
          <w:rFonts w:ascii="宋体" w:hAnsi="宋体"/>
          <w:sz w:val="21"/>
          <w:szCs w:val="21"/>
        </w:rPr>
      </w:pPr>
      <w:r>
        <w:rPr>
          <w:rFonts w:hint="eastAsia" w:ascii="宋体" w:hAnsi="宋体"/>
          <w:sz w:val="21"/>
          <w:szCs w:val="21"/>
        </w:rPr>
        <w:t>19.3乙方的所有员工及离职人员、分支机构、子公司、、母公司、关联公司（简称“关联人员及机构”）承担与乙方在本合同项下同样的保密义务，乙方的关联人员及机构中有任何主体违反本条约定的保密义务，均视为乙方违反保密义务，并由乙方承担违约责任。</w:t>
      </w:r>
    </w:p>
    <w:p>
      <w:pPr>
        <w:pStyle w:val="7"/>
        <w:spacing w:line="276" w:lineRule="auto"/>
        <w:ind w:firstLine="420"/>
        <w:jc w:val="left"/>
        <w:rPr>
          <w:rFonts w:ascii="宋体" w:hAnsi="宋体"/>
          <w:sz w:val="21"/>
          <w:szCs w:val="21"/>
        </w:rPr>
      </w:pPr>
      <w:r>
        <w:rPr>
          <w:rFonts w:ascii="宋体" w:hAnsi="宋体"/>
          <w:sz w:val="21"/>
          <w:szCs w:val="21"/>
        </w:rPr>
        <w:t>19.4</w:t>
      </w:r>
      <w:r>
        <w:rPr>
          <w:rFonts w:hint="eastAsia" w:ascii="宋体" w:hAnsi="宋体"/>
          <w:sz w:val="21"/>
          <w:szCs w:val="21"/>
        </w:rPr>
        <w:t xml:space="preserve"> 合同终止后，乙方应按甲方的要求，将甲方提供给乙方的用于生产本合同项下产品的设计、图纸、检验标准及产品的技术规范或规格要求内包含的该产品的设计、生产、组装或检测方法或工艺以及提供的模具和外协材料等全部销毁或返还给甲方。</w:t>
      </w:r>
    </w:p>
    <w:p>
      <w:pPr>
        <w:adjustRightInd w:val="0"/>
        <w:snapToGrid w:val="0"/>
        <w:spacing w:line="400" w:lineRule="exact"/>
        <w:rPr>
          <w:rFonts w:ascii="宋体" w:hAnsi="宋体"/>
          <w:b/>
          <w:bCs/>
          <w:spacing w:val="4"/>
          <w:szCs w:val="21"/>
        </w:rPr>
      </w:pPr>
      <w:r>
        <w:rPr>
          <w:rFonts w:ascii="宋体" w:hAnsi="宋体"/>
          <w:b/>
          <w:bCs/>
          <w:spacing w:val="4"/>
          <w:szCs w:val="21"/>
        </w:rPr>
        <w:t>20</w:t>
      </w:r>
      <w:r>
        <w:rPr>
          <w:rFonts w:hint="eastAsia" w:ascii="宋体" w:hAnsi="宋体"/>
          <w:b/>
          <w:bCs/>
          <w:spacing w:val="4"/>
          <w:szCs w:val="21"/>
        </w:rPr>
        <w:t>、其它</w:t>
      </w:r>
    </w:p>
    <w:p>
      <w:pPr>
        <w:adjustRightInd w:val="0"/>
        <w:snapToGrid w:val="0"/>
        <w:spacing w:line="400" w:lineRule="exact"/>
        <w:ind w:firstLine="420" w:firstLineChars="200"/>
        <w:rPr>
          <w:rFonts w:ascii="宋体" w:hAnsi="宋体"/>
          <w:szCs w:val="21"/>
        </w:rPr>
      </w:pPr>
      <w:r>
        <w:rPr>
          <w:rFonts w:hint="eastAsia" w:ascii="宋体" w:hAnsi="宋体"/>
          <w:szCs w:val="21"/>
        </w:rPr>
        <w:t>20.1以上产品单价均为含13%增值税的价格。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20.2</w:t>
      </w:r>
      <w:r>
        <w:rPr>
          <w:rFonts w:hint="eastAsia" w:ascii="宋体" w:hAnsi="宋体" w:cs="宋体"/>
          <w:bCs/>
          <w:spacing w:val="4"/>
          <w:szCs w:val="21"/>
        </w:rPr>
        <w:t>本协议下的通知或任何其他通讯应以书面方式，通过邮寄、传真或电子邮箱形式发至对方的地址（包括电子邮箱地址）。双方地址信息见签署页，如果一方的地址发生变更，变更后的地址应当及时有效地通知另一方。</w:t>
      </w:r>
    </w:p>
    <w:p>
      <w:pPr>
        <w:adjustRightInd w:val="0"/>
        <w:snapToGrid w:val="0"/>
        <w:spacing w:line="400" w:lineRule="exact"/>
        <w:ind w:firstLine="420" w:firstLineChars="200"/>
        <w:rPr>
          <w:rFonts w:ascii="宋体" w:hAnsi="宋体"/>
          <w:szCs w:val="21"/>
        </w:rPr>
      </w:pPr>
      <w:r>
        <w:rPr>
          <w:rFonts w:hint="eastAsia" w:ascii="宋体" w:hAnsi="宋体"/>
          <w:szCs w:val="21"/>
        </w:rPr>
        <w:t>20.3所有由协议履行引起的或与协议有关的争议，双方应友好协商解决，协商不成，应向甲方所在地法院诉讼解决。</w:t>
      </w:r>
    </w:p>
    <w:p>
      <w:pPr>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20.4 本协议对甲方、甲方分公司及甲方全资子公司均有效，甲方全资子公司包括但不限于天津荣盛盟固利新能源科技有限公司、广西荣盛盟固利新能源科技有限公司。</w:t>
      </w:r>
    </w:p>
    <w:p>
      <w:pPr>
        <w:adjustRightInd w:val="0"/>
        <w:snapToGrid w:val="0"/>
        <w:spacing w:line="400" w:lineRule="exact"/>
        <w:ind w:firstLine="420" w:firstLineChars="200"/>
        <w:rPr>
          <w:rFonts w:ascii="宋体" w:hAnsi="宋体"/>
          <w:szCs w:val="21"/>
        </w:rPr>
      </w:pPr>
      <w:r>
        <w:rPr>
          <w:rFonts w:hint="eastAsia" w:ascii="宋体" w:hAnsi="宋体"/>
          <w:szCs w:val="21"/>
        </w:rPr>
        <w:t>20.5本协议有效期自【  】年【 】月【 】日至【 】年【 】月【 】日止。本协议有效期届满，如需继续合作的，甲乙双方协商一致后另行签订协议。</w:t>
      </w:r>
    </w:p>
    <w:p>
      <w:pPr>
        <w:adjustRightInd w:val="0"/>
        <w:snapToGrid w:val="0"/>
        <w:spacing w:line="400" w:lineRule="exact"/>
        <w:ind w:firstLine="420" w:firstLineChars="200"/>
        <w:rPr>
          <w:rFonts w:ascii="宋体" w:hAnsi="宋体"/>
          <w:b/>
          <w:color w:val="FF0000"/>
          <w:szCs w:val="21"/>
        </w:rPr>
      </w:pPr>
      <w:r>
        <w:rPr>
          <w:rFonts w:hint="eastAsia" w:ascii="宋体" w:hAnsi="宋体"/>
          <w:szCs w:val="21"/>
        </w:rPr>
        <w:t>20.6有关附件与协议正文具有相同的法律效力。双方对本协议条款的所有修正、补充和修改应经双方协商后以书面形式附于主协议后，作为协议附件，与主协议具有相同的法律效力。传真件视为原件，与本协议具有相同的法律效力。除甲方下发订单外，订单约定以外交付和购买条款无效。未经甲方盖章确认的任何文件，均不对本合同具有约束力，无论该文件由任何人员以任何方式在本协议签订完成前或签订后作出。</w:t>
      </w:r>
    </w:p>
    <w:p>
      <w:pPr>
        <w:adjustRightInd w:val="0"/>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 20.7本协议一式3份，甲方执2份，乙方执1份，具有同等法律效力，自双方签字盖章且在本协议约定的有效期的起始之日起生效。</w:t>
      </w:r>
    </w:p>
    <w:p>
      <w:pPr>
        <w:adjustRightInd w:val="0"/>
        <w:snapToGrid w:val="0"/>
        <w:spacing w:line="400" w:lineRule="exact"/>
        <w:ind w:firstLine="420" w:firstLineChars="200"/>
        <w:rPr>
          <w:rFonts w:asciiTheme="minorEastAsia" w:hAnsiTheme="minorEastAsia" w:eastAsiaTheme="minorEastAsia"/>
          <w:szCs w:val="21"/>
        </w:rPr>
      </w:pPr>
    </w:p>
    <w:p>
      <w:pPr>
        <w:adjustRightInd w:val="0"/>
        <w:snapToGrid w:val="0"/>
        <w:spacing w:line="400" w:lineRule="exact"/>
        <w:ind w:firstLine="420" w:firstLineChars="200"/>
        <w:rPr>
          <w:rFonts w:asciiTheme="minorEastAsia" w:hAnsiTheme="minorEastAsia" w:eastAsiaTheme="minorEastAsia"/>
          <w:szCs w:val="21"/>
        </w:rPr>
      </w:pPr>
    </w:p>
    <w:p>
      <w:pPr>
        <w:spacing w:line="400" w:lineRule="exact"/>
        <w:ind w:firstLine="424" w:firstLineChars="202"/>
        <w:rPr>
          <w:rFonts w:ascii="宋体" w:hAnsi="宋体"/>
          <w:color w:val="000000"/>
          <w:szCs w:val="21"/>
        </w:rPr>
      </w:pPr>
      <w:r>
        <w:rPr>
          <w:rFonts w:hint="eastAsia" w:ascii="宋体" w:hAnsi="宋体"/>
          <w:color w:val="000000"/>
          <w:szCs w:val="21"/>
        </w:rPr>
        <w:t>（以下无正文，为签章页）</w:t>
      </w:r>
    </w:p>
    <w:tbl>
      <w:tblPr>
        <w:tblStyle w:val="24"/>
        <w:tblpPr w:leftFromText="180" w:rightFromText="180" w:vertAnchor="text" w:horzAnchor="margin" w:tblpY="64"/>
        <w:tblW w:w="9464"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荣盛盟固利新能源科技有限公司</w:t>
            </w:r>
          </w:p>
        </w:tc>
        <w:sdt>
          <w:sdtPr>
            <w:rPr>
              <w:rFonts w:hint="eastAsia" w:ascii="宋体" w:hAnsi="宋体" w:cs="宋体"/>
              <w:spacing w:val="4"/>
              <w:szCs w:val="21"/>
            </w:rPr>
            <w:id w:val="2089646689"/>
            <w:showingPlcHdr/>
            <w:text/>
          </w:sdtPr>
          <w:sdtEndPr>
            <w:rPr>
              <w:rFonts w:hint="eastAsia" w:ascii="宋体" w:hAnsi="宋体" w:cs="宋体"/>
              <w:spacing w:val="4"/>
              <w:szCs w:val="21"/>
            </w:rPr>
          </w:sdtEndPr>
          <w:sdtContent>
            <w:tc>
              <w:tcPr>
                <w:tcW w:w="4542" w:type="dxa"/>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rPr>
            </w:pP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年  月  日</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北京市昌平区白浮泉路18号</w:t>
            </w:r>
          </w:p>
        </w:tc>
        <w:sdt>
          <w:sdtPr>
            <w:rPr>
              <w:rFonts w:hint="eastAsia" w:ascii="宋体" w:hAnsi="宋体" w:cs="宋体"/>
              <w:spacing w:val="4"/>
              <w:szCs w:val="21"/>
            </w:rPr>
            <w:id w:val="2089646690"/>
            <w:showingPlcHdr/>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102200</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010-89743388</w:t>
            </w:r>
          </w:p>
        </w:tc>
        <w:sdt>
          <w:sdtPr>
            <w:rPr>
              <w:rFonts w:hint="eastAsia" w:ascii="宋体" w:hAnsi="宋体" w:cs="宋体"/>
              <w:spacing w:val="4"/>
              <w:szCs w:val="21"/>
            </w:rPr>
            <w:id w:val="2089646693"/>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010-89747404</w:t>
            </w: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电子邮箱</w:t>
            </w:r>
          </w:p>
        </w:tc>
        <w:tc>
          <w:tcPr>
            <w:tcW w:w="3725" w:type="dxa"/>
            <w:vAlign w:val="center"/>
          </w:tcPr>
          <w:p>
            <w:pPr>
              <w:adjustRightInd w:val="0"/>
              <w:snapToGrid w:val="0"/>
              <w:spacing w:line="400" w:lineRule="exact"/>
              <w:jc w:val="center"/>
              <w:rPr>
                <w:rFonts w:ascii="宋体" w:hAnsi="宋体"/>
                <w:spacing w:val="4"/>
              </w:rPr>
            </w:pPr>
          </w:p>
        </w:tc>
        <w:tc>
          <w:tcPr>
            <w:tcW w:w="4542" w:type="dxa"/>
            <w:vAlign w:val="center"/>
          </w:tcPr>
          <w:p>
            <w:pPr>
              <w:adjustRightInd w:val="0"/>
              <w:snapToGrid w:val="0"/>
              <w:jc w:val="center"/>
              <w:rPr>
                <w:rFonts w:ascii="宋体" w:hAnsi="宋体" w:cs="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rPr>
            </w:pPr>
            <w:r>
              <w:rPr>
                <w:rFonts w:hint="eastAsia" w:ascii="宋体" w:hAnsi="宋体"/>
                <w:spacing w:val="4"/>
                <w:szCs w:val="21"/>
              </w:rPr>
              <w:t>工行昌平支行营业部</w:t>
            </w:r>
          </w:p>
        </w:tc>
        <w:sdt>
          <w:sdtPr>
            <w:rPr>
              <w:rFonts w:hint="eastAsia" w:ascii="宋体" w:hAnsi="宋体" w:cs="宋体"/>
              <w:spacing w:val="4"/>
              <w:szCs w:val="21"/>
            </w:rPr>
            <w:id w:val="2089646694"/>
            <w:showingPlcHdr/>
            <w:text/>
          </w:sdtPr>
          <w:sdtEndPr>
            <w:rPr>
              <w:rFonts w:hint="eastAsia" w:ascii="宋体" w:hAnsi="宋体" w:cs="宋体"/>
              <w:spacing w:val="4"/>
              <w:szCs w:val="21"/>
            </w:rPr>
          </w:sdtEndPr>
          <w:sdtContent>
            <w:tc>
              <w:tcPr>
                <w:tcW w:w="4542" w:type="dxa"/>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rPr>
            </w:pPr>
            <w:r>
              <w:rPr>
                <w:rFonts w:hint="eastAsia" w:ascii="宋体" w:hAnsi="宋体"/>
                <w:spacing w:val="4"/>
                <w:szCs w:val="21"/>
              </w:rPr>
              <w:t>0200048909200013866</w:t>
            </w:r>
          </w:p>
        </w:tc>
        <w:sdt>
          <w:sdtPr>
            <w:rPr>
              <w:rFonts w:hint="eastAsia" w:ascii="宋体" w:hAnsi="宋体" w:cs="宋体"/>
              <w:spacing w:val="4"/>
              <w:szCs w:val="21"/>
            </w:rPr>
            <w:id w:val="2089646695"/>
            <w:showingPlcHdr/>
            <w:text/>
          </w:sdtPr>
          <w:sdtEndPr>
            <w:rPr>
              <w:rFonts w:hint="eastAsia" w:ascii="宋体" w:hAnsi="宋体" w:cs="宋体"/>
              <w:spacing w:val="4"/>
              <w:szCs w:val="21"/>
            </w:rPr>
          </w:sdtEndPr>
          <w:sdtContent>
            <w:tc>
              <w:tcPr>
                <w:tcW w:w="4542" w:type="dxa"/>
                <w:tcBorders>
                  <w:bottom w:val="thinThickSmallGap" w:color="auto" w:sz="24" w:space="0"/>
                </w:tcBorders>
                <w:vAlign w:val="center"/>
              </w:tcPr>
              <w:p>
                <w:pPr>
                  <w:adjustRightInd w:val="0"/>
                  <w:snapToGrid w:val="0"/>
                  <w:jc w:val="center"/>
                  <w:rPr>
                    <w:rFonts w:ascii="宋体" w:hAnsi="宋体" w:cs="宋体"/>
                    <w:spacing w:val="4"/>
                    <w:szCs w:val="21"/>
                  </w:rPr>
                </w:pPr>
                <w:r>
                  <w:rPr>
                    <w:rFonts w:ascii="宋体" w:hAnsi="宋体" w:cs="宋体"/>
                    <w:spacing w:val="4"/>
                    <w:szCs w:val="21"/>
                  </w:rPr>
                  <w:t xml:space="preserve">     </w:t>
                </w:r>
              </w:p>
            </w:tc>
          </w:sdtContent>
        </w:sdt>
      </w:tr>
    </w:tbl>
    <w:p>
      <w:pPr>
        <w:overflowPunct w:val="0"/>
        <w:spacing w:line="360" w:lineRule="auto"/>
        <w:jc w:val="center"/>
        <w:outlineLvl w:val="0"/>
        <w:rPr>
          <w:rStyle w:val="36"/>
          <w:sz w:val="28"/>
          <w:szCs w:val="28"/>
        </w:rPr>
      </w:pPr>
    </w:p>
    <w:p>
      <w:pPr>
        <w:adjustRightInd w:val="0"/>
        <w:snapToGrid w:val="0"/>
        <w:spacing w:line="400" w:lineRule="exact"/>
        <w:jc w:val="center"/>
        <w:rPr>
          <w:b/>
          <w:spacing w:val="4"/>
          <w:sz w:val="36"/>
          <w:szCs w:val="20"/>
        </w:rPr>
      </w:pPr>
    </w:p>
    <w:bookmarkEnd w:id="62"/>
    <w:bookmarkEnd w:id="63"/>
    <w:bookmarkEnd w:id="64"/>
    <w:p>
      <w:pPr>
        <w:overflowPunct w:val="0"/>
        <w:spacing w:line="360" w:lineRule="auto"/>
        <w:jc w:val="center"/>
        <w:outlineLvl w:val="0"/>
        <w:rPr>
          <w:rStyle w:val="36"/>
          <w:rFonts w:hint="eastAsia"/>
          <w:sz w:val="28"/>
          <w:szCs w:val="28"/>
        </w:rPr>
      </w:pPr>
      <w:bookmarkStart w:id="68" w:name="_Toc509411474"/>
      <w:bookmarkStart w:id="69" w:name="_Toc509411554"/>
      <w:bookmarkStart w:id="70" w:name="_Toc509413676"/>
    </w:p>
    <w:p>
      <w:pPr>
        <w:overflowPunct w:val="0"/>
        <w:spacing w:line="360" w:lineRule="auto"/>
        <w:jc w:val="center"/>
        <w:outlineLvl w:val="0"/>
        <w:rPr>
          <w:rStyle w:val="36"/>
          <w:sz w:val="28"/>
          <w:szCs w:val="28"/>
        </w:rPr>
      </w:pPr>
      <w:r>
        <w:rPr>
          <w:rStyle w:val="36"/>
          <w:rFonts w:hint="eastAsia"/>
          <w:sz w:val="28"/>
          <w:szCs w:val="28"/>
        </w:rPr>
        <w:t>第五章 供应商质量基本要求</w:t>
      </w:r>
      <w:bookmarkEnd w:id="68"/>
      <w:bookmarkEnd w:id="69"/>
      <w:bookmarkEnd w:id="70"/>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bookmarkStart w:id="71" w:name="_Toc509411555"/>
      <w:bookmarkStart w:id="72" w:name="_Toc509411475"/>
      <w:r>
        <w:rPr>
          <w:rFonts w:hint="eastAsia" w:ascii="宋体" w:hAnsi="宋体" w:cs="宋体"/>
          <w:color w:val="FF0000"/>
          <w:kern w:val="0"/>
          <w:szCs w:val="21"/>
        </w:rPr>
        <w:t>（具体条款要求见附件9）</w:t>
      </w:r>
      <w:bookmarkEnd w:id="71"/>
      <w:bookmarkEnd w:id="72"/>
    </w:p>
    <w:p/>
    <w:p/>
    <w:p/>
    <w:p/>
    <w:p/>
    <w:p/>
    <w:p/>
    <w:p/>
    <w:p/>
    <w:p/>
    <w:p/>
    <w:p/>
    <w:p/>
    <w:p/>
    <w:p/>
    <w:p/>
    <w:p/>
    <w:p/>
    <w:p/>
    <w:p/>
    <w:p/>
    <w:p/>
    <w:p/>
    <w:p/>
    <w:p/>
    <w:p/>
    <w:p/>
    <w:p/>
    <w:p/>
    <w:p/>
    <w:p/>
    <w:p/>
    <w:p/>
    <w:sectPr>
      <w:pgSz w:w="11906" w:h="16838"/>
      <w:pgMar w:top="1440" w:right="1133"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- 21 -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ind w:right="90"/>
    </w:pPr>
    <w:r>
      <w:rPr>
        <w:rFonts w:hint="eastAsia"/>
      </w:rPr>
      <w:t>荣盛盟固利新能源科技有限公司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A596A"/>
    <w:multiLevelType w:val="multilevel"/>
    <w:tmpl w:val="07DA59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5B1068"/>
    <w:multiLevelType w:val="multilevel"/>
    <w:tmpl w:val="1C5B10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C91163"/>
    <w:multiLevelType w:val="multilevel"/>
    <w:tmpl w:val="1FC91163"/>
    <w:lvl w:ilvl="0" w:tentative="0">
      <w:start w:val="1"/>
      <w:numFmt w:val="decimal"/>
      <w:pStyle w:val="32"/>
      <w:suff w:val="nothing"/>
      <w:lvlText w:val="%1　"/>
      <w:lvlJc w:val="left"/>
      <w:pPr>
        <w:ind w:left="0" w:firstLine="0"/>
      </w:pPr>
      <w:rPr>
        <w:rFonts w:hint="eastAsia" w:ascii="宋体" w:hAnsi="宋体" w:eastAsia="宋体"/>
        <w:b/>
        <w:i w:val="0"/>
        <w:sz w:val="24"/>
        <w:szCs w:val="24"/>
      </w:rPr>
    </w:lvl>
    <w:lvl w:ilvl="1" w:tentative="0">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color w:val="000000"/>
        <w:spacing w:val="0"/>
        <w:kern w:val="0"/>
        <w:position w:val="0"/>
        <w:sz w:val="24"/>
        <w:szCs w:val="24"/>
        <w:u w:val="no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宋体" w:hAnsi="宋体" w:eastAsia="宋体"/>
        <w:b w:val="0"/>
        <w:i w:val="0"/>
        <w:sz w:val="24"/>
        <w:szCs w:val="24"/>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32A3665"/>
    <w:multiLevelType w:val="multilevel"/>
    <w:tmpl w:val="232A3665"/>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A9E6B8"/>
    <w:multiLevelType w:val="singleLevel"/>
    <w:tmpl w:val="54A9E6B8"/>
    <w:lvl w:ilvl="0" w:tentative="0">
      <w:start w:val="1"/>
      <w:numFmt w:val="decimal"/>
      <w:suff w:val="nothing"/>
      <w:lvlText w:val="%1."/>
      <w:lvlJc w:val="left"/>
    </w:lvl>
  </w:abstractNum>
  <w:abstractNum w:abstractNumId="5">
    <w:nsid w:val="54A9E701"/>
    <w:multiLevelType w:val="singleLevel"/>
    <w:tmpl w:val="54A9E701"/>
    <w:lvl w:ilvl="0" w:tentative="0">
      <w:start w:val="1"/>
      <w:numFmt w:val="decimal"/>
      <w:suff w:val="nothing"/>
      <w:lvlText w:val="%1."/>
      <w:lvlJc w:val="left"/>
    </w:lvl>
  </w:abstractNum>
  <w:abstractNum w:abstractNumId="6">
    <w:nsid w:val="54A9E73A"/>
    <w:multiLevelType w:val="singleLevel"/>
    <w:tmpl w:val="54A9E73A"/>
    <w:lvl w:ilvl="0" w:tentative="0">
      <w:start w:val="1"/>
      <w:numFmt w:val="decimal"/>
      <w:suff w:val="nothing"/>
      <w:lvlText w:val="%1."/>
      <w:lvlJc w:val="left"/>
    </w:lvl>
  </w:abstractNum>
  <w:abstractNum w:abstractNumId="7">
    <w:nsid w:val="69763167"/>
    <w:multiLevelType w:val="multilevel"/>
    <w:tmpl w:val="69763167"/>
    <w:lvl w:ilvl="0" w:tentative="0">
      <w:start w:val="1"/>
      <w:numFmt w:val="japaneseCounting"/>
      <w:lvlText w:val="第%1章"/>
      <w:lvlJc w:val="left"/>
      <w:pPr>
        <w:ind w:left="1050" w:hanging="10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A8D5695"/>
    <w:multiLevelType w:val="multilevel"/>
    <w:tmpl w:val="7A8D569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0"/>
  </w:num>
  <w:num w:numId="4">
    <w:abstractNumId w:val="1"/>
  </w:num>
  <w:num w:numId="5">
    <w:abstractNumId w:val="3"/>
  </w:num>
  <w:num w:numId="6">
    <w:abstractNumId w:val="8"/>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trackRevisions w:val="1"/>
  <w:documentProtection w:enforcement="0"/>
  <w:defaultTabStop w:val="420"/>
  <w:drawingGridHorizontalSpacing w:val="105"/>
  <w:drawingGridVerticalSpacing w:val="38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52"/>
    <w:rsid w:val="0001102C"/>
    <w:rsid w:val="0001742E"/>
    <w:rsid w:val="00040D94"/>
    <w:rsid w:val="00055FE2"/>
    <w:rsid w:val="00075F86"/>
    <w:rsid w:val="0007690B"/>
    <w:rsid w:val="000C4A7A"/>
    <w:rsid w:val="000E687A"/>
    <w:rsid w:val="000F20EF"/>
    <w:rsid w:val="00115171"/>
    <w:rsid w:val="001419D7"/>
    <w:rsid w:val="00160C52"/>
    <w:rsid w:val="001B0E84"/>
    <w:rsid w:val="001C39F5"/>
    <w:rsid w:val="00210CAB"/>
    <w:rsid w:val="00214236"/>
    <w:rsid w:val="00236152"/>
    <w:rsid w:val="002B4FBA"/>
    <w:rsid w:val="002C314B"/>
    <w:rsid w:val="003208B3"/>
    <w:rsid w:val="003244A6"/>
    <w:rsid w:val="003933C8"/>
    <w:rsid w:val="003940DA"/>
    <w:rsid w:val="00397D24"/>
    <w:rsid w:val="003B30DC"/>
    <w:rsid w:val="003C5B45"/>
    <w:rsid w:val="0040145F"/>
    <w:rsid w:val="00420FC2"/>
    <w:rsid w:val="0043180B"/>
    <w:rsid w:val="00485F23"/>
    <w:rsid w:val="004A6F97"/>
    <w:rsid w:val="004B5539"/>
    <w:rsid w:val="004D227D"/>
    <w:rsid w:val="004D2833"/>
    <w:rsid w:val="004D41AA"/>
    <w:rsid w:val="00566810"/>
    <w:rsid w:val="005C6F16"/>
    <w:rsid w:val="005E4699"/>
    <w:rsid w:val="006314BD"/>
    <w:rsid w:val="0064014A"/>
    <w:rsid w:val="006D516B"/>
    <w:rsid w:val="006F7F5E"/>
    <w:rsid w:val="00742C70"/>
    <w:rsid w:val="0076713B"/>
    <w:rsid w:val="007B22BA"/>
    <w:rsid w:val="00806A10"/>
    <w:rsid w:val="00814066"/>
    <w:rsid w:val="0083373B"/>
    <w:rsid w:val="0086537C"/>
    <w:rsid w:val="00896492"/>
    <w:rsid w:val="008C372A"/>
    <w:rsid w:val="008E3FD0"/>
    <w:rsid w:val="008F33EB"/>
    <w:rsid w:val="00912C3E"/>
    <w:rsid w:val="0093755C"/>
    <w:rsid w:val="0094159D"/>
    <w:rsid w:val="00955AEB"/>
    <w:rsid w:val="0096737D"/>
    <w:rsid w:val="00971C59"/>
    <w:rsid w:val="00976924"/>
    <w:rsid w:val="009A39E9"/>
    <w:rsid w:val="00A03F4A"/>
    <w:rsid w:val="00A62369"/>
    <w:rsid w:val="00A86E8C"/>
    <w:rsid w:val="00A873DD"/>
    <w:rsid w:val="00A94898"/>
    <w:rsid w:val="00A96864"/>
    <w:rsid w:val="00AB0F4B"/>
    <w:rsid w:val="00B04E39"/>
    <w:rsid w:val="00B17833"/>
    <w:rsid w:val="00B5216E"/>
    <w:rsid w:val="00B70CCA"/>
    <w:rsid w:val="00B8112E"/>
    <w:rsid w:val="00BD0310"/>
    <w:rsid w:val="00BE4B25"/>
    <w:rsid w:val="00C16CAF"/>
    <w:rsid w:val="00C27C65"/>
    <w:rsid w:val="00D2007D"/>
    <w:rsid w:val="00D40386"/>
    <w:rsid w:val="00D5404A"/>
    <w:rsid w:val="00D64AE9"/>
    <w:rsid w:val="00D7765E"/>
    <w:rsid w:val="00DB5909"/>
    <w:rsid w:val="00DC321D"/>
    <w:rsid w:val="00DF01AD"/>
    <w:rsid w:val="00E051B4"/>
    <w:rsid w:val="00E20486"/>
    <w:rsid w:val="00E62EB6"/>
    <w:rsid w:val="00E90189"/>
    <w:rsid w:val="00ED48D3"/>
    <w:rsid w:val="00FC2970"/>
    <w:rsid w:val="00FC7855"/>
    <w:rsid w:val="00FD3FF0"/>
    <w:rsid w:val="00FE72ED"/>
    <w:rsid w:val="0A2C6E52"/>
    <w:rsid w:val="26971E6A"/>
    <w:rsid w:val="386E371D"/>
    <w:rsid w:val="41B45A61"/>
    <w:rsid w:val="5B9A06BE"/>
    <w:rsid w:val="5DE448FD"/>
    <w:rsid w:val="6DDF613B"/>
    <w:rsid w:val="7B6E1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b/>
      <w:kern w:val="44"/>
      <w:sz w:val="44"/>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2520" w:leftChars="1200"/>
    </w:pPr>
  </w:style>
  <w:style w:type="paragraph" w:styleId="4">
    <w:name w:val="Normal Indent"/>
    <w:basedOn w:val="1"/>
    <w:qFormat/>
    <w:uiPriority w:val="0"/>
    <w:pPr>
      <w:adjustRightInd w:val="0"/>
      <w:ind w:firstLine="420"/>
      <w:jc w:val="left"/>
      <w:textAlignment w:val="baseline"/>
    </w:pPr>
    <w:rPr>
      <w:sz w:val="24"/>
    </w:rPr>
  </w:style>
  <w:style w:type="paragraph" w:styleId="5">
    <w:name w:val="annotation text"/>
    <w:basedOn w:val="1"/>
    <w:link w:val="39"/>
    <w:qFormat/>
    <w:uiPriority w:val="99"/>
    <w:pPr>
      <w:jc w:val="left"/>
    </w:pPr>
    <w:rPr>
      <w:szCs w:val="20"/>
    </w:rPr>
  </w:style>
  <w:style w:type="paragraph" w:styleId="6">
    <w:name w:val="Body Text"/>
    <w:basedOn w:val="1"/>
    <w:qFormat/>
    <w:uiPriority w:val="0"/>
    <w:pPr>
      <w:spacing w:after="120"/>
    </w:pPr>
  </w:style>
  <w:style w:type="paragraph" w:styleId="7">
    <w:name w:val="Body Text Indent"/>
    <w:basedOn w:val="1"/>
    <w:unhideWhenUsed/>
    <w:qFormat/>
    <w:uiPriority w:val="99"/>
    <w:pPr>
      <w:spacing w:line="480" w:lineRule="auto"/>
      <w:ind w:firstLine="480" w:firstLineChars="200"/>
    </w:pPr>
    <w:rPr>
      <w:sz w:val="24"/>
    </w:rPr>
  </w:style>
  <w:style w:type="paragraph" w:styleId="8">
    <w:name w:val="toc 5"/>
    <w:basedOn w:val="1"/>
    <w:next w:val="1"/>
    <w:qFormat/>
    <w:uiPriority w:val="0"/>
    <w:pPr>
      <w:ind w:left="1680" w:leftChars="800"/>
    </w:pPr>
  </w:style>
  <w:style w:type="paragraph" w:styleId="9">
    <w:name w:val="toc 3"/>
    <w:basedOn w:val="1"/>
    <w:next w:val="1"/>
    <w:link w:val="34"/>
    <w:qFormat/>
    <w:uiPriority w:val="0"/>
    <w:pPr>
      <w:ind w:left="840" w:leftChars="400"/>
    </w:pPr>
  </w:style>
  <w:style w:type="paragraph" w:styleId="10">
    <w:name w:val="Plain Text"/>
    <w:basedOn w:val="1"/>
    <w:link w:val="43"/>
    <w:qFormat/>
    <w:uiPriority w:val="0"/>
    <w:rPr>
      <w:rFonts w:ascii="宋体" w:hAnsi="Courier New"/>
    </w:rPr>
  </w:style>
  <w:style w:type="paragraph" w:styleId="11">
    <w:name w:val="toc 8"/>
    <w:basedOn w:val="1"/>
    <w:next w:val="1"/>
    <w:qFormat/>
    <w:uiPriority w:val="0"/>
    <w:pPr>
      <w:ind w:left="2940" w:leftChars="1400"/>
    </w:pPr>
  </w:style>
  <w:style w:type="paragraph" w:styleId="12">
    <w:name w:val="Date"/>
    <w:basedOn w:val="1"/>
    <w:next w:val="1"/>
    <w:qFormat/>
    <w:uiPriority w:val="0"/>
    <w:rPr>
      <w:rFonts w:ascii="宋体" w:hAnsi="宋体"/>
      <w:sz w:val="24"/>
    </w:rPr>
  </w:style>
  <w:style w:type="paragraph" w:styleId="13">
    <w:name w:val="Body Text Indent 2"/>
    <w:basedOn w:val="1"/>
    <w:qFormat/>
    <w:uiPriority w:val="0"/>
    <w:pPr>
      <w:spacing w:line="360" w:lineRule="auto"/>
      <w:ind w:firstLine="501" w:firstLineChars="213"/>
    </w:pPr>
    <w:rPr>
      <w:rFonts w:ascii="宋体"/>
      <w:sz w:val="24"/>
    </w:rPr>
  </w:style>
  <w:style w:type="paragraph" w:styleId="14">
    <w:name w:val="Balloon Text"/>
    <w:basedOn w:val="1"/>
    <w:link w:val="38"/>
    <w:semiHidden/>
    <w:unhideWhenUsed/>
    <w:qFormat/>
    <w:uiPriority w:val="99"/>
    <w:rPr>
      <w:sz w:val="18"/>
      <w:szCs w:val="18"/>
    </w:rPr>
  </w:style>
  <w:style w:type="paragraph" w:styleId="15">
    <w:name w:val="footer"/>
    <w:basedOn w:val="1"/>
    <w:link w:val="37"/>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3"/>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23">
    <w:name w:val="annotation subject"/>
    <w:basedOn w:val="5"/>
    <w:next w:val="5"/>
    <w:link w:val="42"/>
    <w:semiHidden/>
    <w:unhideWhenUsed/>
    <w:qFormat/>
    <w:uiPriority w:val="0"/>
    <w:rPr>
      <w:b/>
      <w:bCs/>
      <w:szCs w:val="24"/>
    </w:rPr>
  </w:style>
  <w:style w:type="character" w:styleId="26">
    <w:name w:val="page number"/>
    <w:basedOn w:val="25"/>
    <w:qFormat/>
    <w:uiPriority w:val="0"/>
  </w:style>
  <w:style w:type="character" w:styleId="27">
    <w:name w:val="Hyperlink"/>
    <w:basedOn w:val="25"/>
    <w:unhideWhenUsed/>
    <w:qFormat/>
    <w:uiPriority w:val="99"/>
    <w:rPr>
      <w:color w:val="0000FF"/>
      <w:u w:val="single"/>
    </w:rPr>
  </w:style>
  <w:style w:type="character" w:styleId="28">
    <w:name w:val="annotation reference"/>
    <w:basedOn w:val="25"/>
    <w:semiHidden/>
    <w:unhideWhenUsed/>
    <w:qFormat/>
    <w:uiPriority w:val="99"/>
    <w:rPr>
      <w:sz w:val="21"/>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列出段落1"/>
    <w:basedOn w:val="1"/>
    <w:qFormat/>
    <w:uiPriority w:val="34"/>
    <w:pPr>
      <w:ind w:firstLine="420" w:firstLineChars="200"/>
    </w:pPr>
  </w:style>
  <w:style w:type="paragraph" w:customStyle="1" w:styleId="31">
    <w:name w:val="TOC 标题1"/>
    <w:basedOn w:val="2"/>
    <w:next w:val="1"/>
    <w:unhideWhenUsed/>
    <w:qFormat/>
    <w:uiPriority w:val="39"/>
    <w:pPr>
      <w:widowControl/>
      <w:spacing w:before="240" w:after="0" w:line="259" w:lineRule="auto"/>
      <w:jc w:val="left"/>
      <w:outlineLvl w:val="9"/>
    </w:pPr>
    <w:rPr>
      <w:rFonts w:ascii="Cambria" w:hAnsi="Cambria" w:cs="黑体"/>
      <w:b w:val="0"/>
      <w:color w:val="365F90"/>
      <w:kern w:val="0"/>
      <w:sz w:val="32"/>
      <w:szCs w:val="32"/>
    </w:rPr>
  </w:style>
  <w:style w:type="paragraph" w:customStyle="1" w:styleId="32">
    <w:name w:val="章标题"/>
    <w:next w:val="1"/>
    <w:qFormat/>
    <w:uiPriority w:val="0"/>
    <w:pPr>
      <w:numPr>
        <w:ilvl w:val="0"/>
        <w:numId w:val="1"/>
      </w:numPr>
      <w:spacing w:beforeLines="100" w:afterLines="100"/>
      <w:jc w:val="both"/>
      <w:outlineLvl w:val="1"/>
    </w:pPr>
    <w:rPr>
      <w:rFonts w:ascii="黑体" w:hAnsi="Times New Roman" w:eastAsia="黑体" w:cs="Times New Roman"/>
      <w:sz w:val="21"/>
      <w:szCs w:val="22"/>
      <w:lang w:val="en-US" w:eastAsia="zh-CN" w:bidi="ar-SA"/>
    </w:rPr>
  </w:style>
  <w:style w:type="character" w:customStyle="1" w:styleId="33">
    <w:name w:val="目录 1 Char"/>
    <w:link w:val="17"/>
    <w:qFormat/>
    <w:uiPriority w:val="0"/>
  </w:style>
  <w:style w:type="character" w:customStyle="1" w:styleId="34">
    <w:name w:val="目录 3 Char"/>
    <w:link w:val="9"/>
    <w:qFormat/>
    <w:uiPriority w:val="0"/>
  </w:style>
  <w:style w:type="character" w:customStyle="1" w:styleId="35">
    <w:name w:val="black21"/>
    <w:basedOn w:val="25"/>
    <w:qFormat/>
    <w:uiPriority w:val="0"/>
    <w:rPr>
      <w:color w:val="000000"/>
      <w:sz w:val="21"/>
      <w:szCs w:val="21"/>
      <w:u w:val="none"/>
    </w:rPr>
  </w:style>
  <w:style w:type="character" w:customStyle="1" w:styleId="36">
    <w:name w:val="标题 1 Char"/>
    <w:link w:val="2"/>
    <w:qFormat/>
    <w:uiPriority w:val="0"/>
    <w:rPr>
      <w:b/>
      <w:kern w:val="44"/>
      <w:sz w:val="44"/>
    </w:rPr>
  </w:style>
  <w:style w:type="character" w:customStyle="1" w:styleId="37">
    <w:name w:val="页脚 Char"/>
    <w:basedOn w:val="25"/>
    <w:link w:val="15"/>
    <w:qFormat/>
    <w:uiPriority w:val="0"/>
    <w:rPr>
      <w:kern w:val="2"/>
      <w:sz w:val="18"/>
      <w:szCs w:val="18"/>
    </w:rPr>
  </w:style>
  <w:style w:type="character" w:customStyle="1" w:styleId="38">
    <w:name w:val="批注框文本 Char"/>
    <w:basedOn w:val="25"/>
    <w:link w:val="14"/>
    <w:semiHidden/>
    <w:qFormat/>
    <w:uiPriority w:val="99"/>
    <w:rPr>
      <w:kern w:val="2"/>
      <w:sz w:val="18"/>
      <w:szCs w:val="18"/>
    </w:rPr>
  </w:style>
  <w:style w:type="character" w:customStyle="1" w:styleId="39">
    <w:name w:val="批注文字 Char"/>
    <w:link w:val="5"/>
    <w:qFormat/>
    <w:uiPriority w:val="99"/>
    <w:rPr>
      <w:kern w:val="2"/>
      <w:sz w:val="21"/>
    </w:rPr>
  </w:style>
  <w:style w:type="paragraph" w:styleId="40">
    <w:name w:val="List Paragraph"/>
    <w:basedOn w:val="1"/>
    <w:qFormat/>
    <w:uiPriority w:val="99"/>
    <w:pPr>
      <w:ind w:firstLine="420" w:firstLineChars="200"/>
    </w:pPr>
  </w:style>
  <w:style w:type="paragraph" w:customStyle="1" w:styleId="41">
    <w:name w:val="Body Text Indent 21"/>
    <w:basedOn w:val="1"/>
    <w:qFormat/>
    <w:uiPriority w:val="0"/>
    <w:pPr>
      <w:widowControl/>
      <w:tabs>
        <w:tab w:val="left" w:pos="-1440"/>
        <w:tab w:val="left" w:pos="-720"/>
      </w:tabs>
      <w:suppressAutoHyphens/>
      <w:ind w:left="1440" w:hanging="720"/>
    </w:pPr>
    <w:rPr>
      <w:kern w:val="0"/>
      <w:sz w:val="24"/>
      <w:lang w:eastAsia="ar-SA"/>
    </w:rPr>
  </w:style>
  <w:style w:type="character" w:customStyle="1" w:styleId="42">
    <w:name w:val="批注主题 Char"/>
    <w:basedOn w:val="39"/>
    <w:link w:val="23"/>
    <w:semiHidden/>
    <w:qFormat/>
    <w:uiPriority w:val="0"/>
    <w:rPr>
      <w:b/>
      <w:bCs/>
      <w:kern w:val="2"/>
      <w:sz w:val="21"/>
      <w:szCs w:val="24"/>
    </w:rPr>
  </w:style>
  <w:style w:type="character" w:customStyle="1" w:styleId="43">
    <w:name w:val="纯文本 Char"/>
    <w:basedOn w:val="25"/>
    <w:link w:val="10"/>
    <w:uiPriority w:val="0"/>
    <w:rPr>
      <w:rFonts w:ascii="宋体" w:hAnsi="Courier New"/>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19175-22B9-456C-9758-6F39961D03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2376</Words>
  <Characters>13544</Characters>
  <Lines>112</Lines>
  <Paragraphs>31</Paragraphs>
  <TotalTime>440</TotalTime>
  <ScaleCrop>false</ScaleCrop>
  <LinksUpToDate>false</LinksUpToDate>
  <CharactersWithSpaces>15889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2020-01-14T10:33:00Z</dcterms:created>
  <dc:creator>zgy2010</dc:creator>
  <cp:lastModifiedBy>王振东</cp:lastModifiedBy>
  <dcterms:modified xsi:type="dcterms:W3CDTF">2022-07-15T07:04:01Z</dcterms:modified>
  <dc:title>招标文件</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