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1212</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12</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9411470"/>
      <w:bookmarkStart w:id="1" w:name="_Toc508467345"/>
      <w:bookmarkStart w:id="2" w:name="_Toc509411550"/>
      <w:bookmarkStart w:id="3" w:name="_Toc509413672"/>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月-2021年12月</w:t>
            </w:r>
            <w:r>
              <w:rPr>
                <w:rFonts w:hint="eastAsia" w:ascii="宋体" w:hAnsi="宋体"/>
                <w:bCs/>
                <w:szCs w:val="21"/>
                <w:lang w:val="en-US" w:eastAsia="zh-CN"/>
              </w:rPr>
              <w:t>CMC</w:t>
            </w:r>
            <w:r>
              <w:rPr>
                <w:rFonts w:hint="eastAsia" w:ascii="宋体" w:hAnsi="宋体"/>
                <w:bCs/>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总需求数量</w:t>
            </w:r>
          </w:p>
        </w:tc>
        <w:tc>
          <w:tcPr>
            <w:tcW w:w="5522" w:type="dxa"/>
            <w:vAlign w:val="center"/>
          </w:tcPr>
          <w:p>
            <w:pPr>
              <w:overflowPunct w:val="0"/>
              <w:spacing w:line="340" w:lineRule="exact"/>
              <w:rPr>
                <w:rFonts w:hint="eastAsia" w:ascii="宋体" w:hAnsi="宋体"/>
                <w:b/>
                <w:color w:val="FF0000"/>
                <w:szCs w:val="21"/>
                <w:lang w:val="en-US" w:eastAsia="zh-CN"/>
              </w:rPr>
            </w:pPr>
            <w:r>
              <w:rPr>
                <w:rFonts w:hint="eastAsia" w:ascii="宋体" w:hAnsi="宋体"/>
                <w:b/>
                <w:color w:val="FF0000"/>
                <w:szCs w:val="21"/>
                <w:lang w:val="en-US" w:eastAsia="zh-CN"/>
              </w:rPr>
              <w:t>三元电池CMC需求：36.4吨</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磷酸铁锂电池CMC需求：31.2吨</w:t>
            </w:r>
            <w:bookmarkStart w:id="71" w:name="_GoBack"/>
            <w:bookmarkEnd w:id="7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rFonts w:hint="default" w:eastAsia="宋体"/>
                <w:sz w:val="21"/>
                <w:szCs w:val="21"/>
                <w:lang w:val="en-US" w:eastAsia="zh-CN"/>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w:t>
            </w:r>
            <w:r>
              <w:rPr>
                <w:rFonts w:hint="eastAsia"/>
                <w:sz w:val="21"/>
                <w:szCs w:val="21"/>
                <w:lang w:val="en-US" w:eastAsia="zh-CN"/>
              </w:rPr>
              <w:t>由投标方自带开标现场。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ascii="宋体" w:hAnsi="宋体"/>
                <w:bCs/>
                <w:szCs w:val="21"/>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509411471"/>
      <w:bookmarkStart w:id="5" w:name="_Toc508467346"/>
      <w:bookmarkStart w:id="6" w:name="_Toc509411551"/>
      <w:bookmarkStart w:id="7" w:name="_Toc19073"/>
      <w:bookmarkStart w:id="8" w:name="_Toc509413673"/>
      <w:bookmarkStart w:id="9" w:name="_Toc7456"/>
      <w:bookmarkStart w:id="10" w:name="_Toc509411472"/>
      <w:bookmarkStart w:id="11" w:name="_Toc509411552"/>
      <w:bookmarkStart w:id="12" w:name="_Toc509413674"/>
      <w:bookmarkStart w:id="13" w:name="_Toc509411554"/>
      <w:bookmarkStart w:id="14" w:name="_Toc509411474"/>
      <w:bookmarkStart w:id="15" w:name="_Toc509411475"/>
      <w:bookmarkStart w:id="16" w:name="_Toc509413676"/>
      <w:bookmarkStart w:id="17" w:name="_Toc50941155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年12月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3393"/>
      <w:bookmarkStart w:id="20" w:name="_Toc29031"/>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30720"/>
      <w:bookmarkStart w:id="22" w:name="_Toc12828"/>
      <w:r>
        <w:rPr>
          <w:rFonts w:hint="eastAsia" w:ascii="宋体" w:hAnsi="宋体" w:cs="宋体"/>
          <w:b/>
          <w:sz w:val="24"/>
        </w:rPr>
        <w:t>B 投标人</w:t>
      </w:r>
      <w:bookmarkEnd w:id="21"/>
      <w:bookmarkEnd w:id="22"/>
    </w:p>
    <w:p>
      <w:pPr>
        <w:rPr>
          <w:rFonts w:ascii="宋体" w:hAnsi="宋体" w:cs="宋体"/>
          <w:b/>
          <w:sz w:val="24"/>
        </w:rPr>
      </w:pPr>
      <w:bookmarkStart w:id="23" w:name="_Toc26778"/>
      <w:bookmarkStart w:id="24" w:name="_Toc27382"/>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9912"/>
      <w:bookmarkStart w:id="26" w:name="_Toc23308"/>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31186"/>
      <w:bookmarkStart w:id="28" w:name="_Toc681"/>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27626"/>
      <w:bookmarkStart w:id="30" w:name="_Toc814"/>
      <w:r>
        <w:rPr>
          <w:rFonts w:hint="eastAsia" w:ascii="宋体" w:hAnsi="宋体" w:cs="宋体"/>
          <w:b/>
          <w:sz w:val="24"/>
        </w:rPr>
        <w:t>C 招标文件说明</w:t>
      </w:r>
      <w:bookmarkEnd w:id="29"/>
      <w:bookmarkEnd w:id="30"/>
    </w:p>
    <w:p>
      <w:pPr>
        <w:rPr>
          <w:rFonts w:ascii="宋体" w:hAnsi="宋体" w:cs="宋体"/>
          <w:b/>
          <w:sz w:val="24"/>
        </w:rPr>
      </w:pPr>
      <w:bookmarkStart w:id="31" w:name="_Toc14605"/>
      <w:bookmarkStart w:id="32" w:name="_Toc23984"/>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27675"/>
      <w:bookmarkStart w:id="34" w:name="_Toc31584"/>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10722"/>
      <w:bookmarkStart w:id="36" w:name="_Toc8693"/>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9695"/>
      <w:bookmarkStart w:id="38" w:name="_Toc27720"/>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9100"/>
      <w:bookmarkStart w:id="40" w:name="_Toc23579"/>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32010"/>
      <w:bookmarkStart w:id="42" w:name="_Toc10482"/>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17069"/>
      <w:bookmarkStart w:id="44" w:name="_Toc49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12091"/>
      <w:bookmarkStart w:id="46" w:name="_Toc24159"/>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23718"/>
      <w:bookmarkStart w:id="48" w:name="_Toc8081"/>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32007"/>
      <w:bookmarkStart w:id="50" w:name="_Toc819"/>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8079"/>
      <w:bookmarkStart w:id="52" w:name="_Toc18240"/>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4586"/>
      <w:bookmarkStart w:id="54" w:name="_Toc19793"/>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24"/>
      <w:bookmarkStart w:id="56" w:name="_Toc10986"/>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10916"/>
      <w:bookmarkStart w:id="58" w:name="_Toc31903"/>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16079"/>
      <w:bookmarkStart w:id="60" w:name="_Toc23121"/>
      <w:r>
        <w:rPr>
          <w:rFonts w:hint="eastAsia" w:ascii="宋体" w:hAnsi="宋体" w:cs="宋体"/>
          <w:sz w:val="24"/>
        </w:rPr>
        <w:t>E. 投标文件的递交</w:t>
      </w:r>
      <w:bookmarkEnd w:id="59"/>
      <w:bookmarkEnd w:id="60"/>
    </w:p>
    <w:p>
      <w:pPr>
        <w:rPr>
          <w:rFonts w:ascii="宋体" w:hAnsi="宋体" w:cs="宋体"/>
          <w:b/>
          <w:sz w:val="24"/>
        </w:rPr>
      </w:pPr>
      <w:bookmarkStart w:id="61" w:name="_Toc29058"/>
      <w:bookmarkStart w:id="62" w:name="_Toc3580"/>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32039"/>
      <w:bookmarkStart w:id="64" w:name="_Toc18815"/>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30916"/>
      <w:bookmarkStart w:id="66" w:name="_Toc2574"/>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lang w:val="en-US" w:eastAsia="zh-CN"/>
        </w:rPr>
        <w:t>甲方支付货款以电汇支付时，乙方承担2%贴息，可以以货物抵扣；</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3675"/>
      <w:bookmarkStart w:id="68" w:name="_Toc509411553"/>
      <w:bookmarkStart w:id="69" w:name="_Toc50941147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rStyle w:val="35"/>
          <w:rFonts w:hint="eastAsia"/>
          <w:sz w:val="28"/>
          <w:szCs w:val="28"/>
        </w:rPr>
      </w:pPr>
      <w:r>
        <w:rPr>
          <w:rStyle w:val="35"/>
          <w:rFonts w:hint="eastAsia"/>
          <w:sz w:val="28"/>
          <w:szCs w:val="28"/>
        </w:rPr>
        <w:t>招标技术要求</w:t>
      </w:r>
    </w:p>
    <w:p>
      <w:pPr>
        <w:overflowPunct w:val="0"/>
        <w:spacing w:line="360" w:lineRule="auto"/>
        <w:jc w:val="center"/>
        <w:outlineLvl w:val="0"/>
        <w:rPr>
          <w:rStyle w:val="35"/>
          <w:b w:val="0"/>
          <w:sz w:val="28"/>
          <w:szCs w:val="28"/>
        </w:rPr>
      </w:pPr>
    </w:p>
    <w:tbl>
      <w:tblPr>
        <w:tblStyle w:val="23"/>
        <w:tblW w:w="8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0"/>
        <w:gridCol w:w="5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bCs/>
                <w:i w:val="0"/>
                <w:color w:val="000000"/>
                <w:sz w:val="21"/>
                <w:lang w:eastAsia="zh-CN"/>
              </w:rPr>
            </w:pPr>
            <w:r>
              <w:rPr>
                <w:rFonts w:hint="eastAsia" w:ascii="宋体" w:hAnsi="宋体" w:eastAsia="宋体" w:cs="宋体"/>
                <w:b/>
                <w:bCs/>
                <w:i w:val="0"/>
                <w:color w:val="000000"/>
                <w:sz w:val="36"/>
                <w:lang w:eastAsia="zh-CN"/>
              </w:rPr>
              <w:t>项目</w:t>
            </w:r>
          </w:p>
        </w:tc>
        <w:tc>
          <w:tcPr>
            <w:tcW w:w="5492" w:type="dxa"/>
            <w:tcBorders>
              <w:top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bCs/>
                <w:i w:val="0"/>
                <w:color w:val="000000"/>
                <w:sz w:val="21"/>
                <w:lang w:eastAsia="zh-CN"/>
              </w:rPr>
            </w:pPr>
            <w:r>
              <w:rPr>
                <w:rFonts w:hint="eastAsia" w:ascii="宋体" w:hAnsi="宋体" w:eastAsia="宋体" w:cs="宋体"/>
                <w:b/>
                <w:bCs/>
                <w:i w:val="0"/>
                <w:color w:val="000000"/>
                <w:sz w:val="36"/>
                <w:lang w:eastAsia="zh-CN"/>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粘度</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2000-5000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水分</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取代度</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添加量使用量</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分子量</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30万-80万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对标型号</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厂家自行填写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3190" w:type="dxa"/>
            <w:tcBorders>
              <w:left w:val="single" w:color="000000" w:sz="4" w:space="0"/>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技术参数</w:t>
            </w:r>
          </w:p>
        </w:tc>
        <w:tc>
          <w:tcPr>
            <w:tcW w:w="5492" w:type="dxa"/>
            <w:tcBorders>
              <w:bottom w:val="single" w:color="000000" w:sz="4" w:space="0"/>
              <w:right w:val="single" w:color="000000" w:sz="4" w:space="0"/>
            </w:tcBorders>
            <w:vAlign w:val="center"/>
          </w:tcPr>
          <w:p>
            <w:pPr>
              <w:autoSpaceDN w:val="0"/>
              <w:ind w:firstLine="0"/>
              <w:jc w:val="center"/>
              <w:textAlignment w:val="auto"/>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eastAsia="zh-CN"/>
              </w:rPr>
              <w:t>厂家自行填写招标型号相关技术规格</w:t>
            </w:r>
          </w:p>
        </w:tc>
      </w:tr>
    </w:tbl>
    <w:p>
      <w:pPr>
        <w:overflowPunct w:val="0"/>
        <w:spacing w:line="360" w:lineRule="auto"/>
        <w:jc w:val="center"/>
        <w:outlineLvl w:val="0"/>
        <w:rPr>
          <w:rStyle w:val="35"/>
          <w:b w:val="0"/>
          <w:sz w:val="28"/>
          <w:szCs w:val="28"/>
        </w:rPr>
      </w:pPr>
    </w:p>
    <w:p>
      <w:pPr>
        <w:widowControl/>
        <w:jc w:val="both"/>
        <w:rPr>
          <w:rStyle w:val="40"/>
          <w:rFonts w:hint="eastAsia"/>
          <w:b w:val="0"/>
          <w:bCs/>
          <w:sz w:val="28"/>
          <w:szCs w:val="28"/>
          <w:lang w:val="en-US" w:eastAsia="zh-CN"/>
        </w:rPr>
      </w:pPr>
      <w:r>
        <w:rPr>
          <w:rStyle w:val="40"/>
          <w:rFonts w:hint="eastAsia"/>
          <w:sz w:val="28"/>
          <w:szCs w:val="28"/>
          <w:lang w:val="en-US" w:eastAsia="zh-CN"/>
        </w:rPr>
        <w:t>注：</w:t>
      </w:r>
      <w:r>
        <w:rPr>
          <w:rStyle w:val="40"/>
          <w:rFonts w:hint="eastAsia"/>
          <w:b w:val="0"/>
          <w:bCs/>
          <w:sz w:val="28"/>
          <w:szCs w:val="28"/>
          <w:lang w:val="en-US" w:eastAsia="zh-CN"/>
        </w:rPr>
        <w:t>可以多款投标，我司会根据产品性能进行评估。</w:t>
      </w:r>
    </w:p>
    <w:p>
      <w:pPr>
        <w:widowControl/>
        <w:jc w:val="both"/>
        <w:rPr>
          <w:rStyle w:val="40"/>
          <w:rFonts w:hint="eastAsia"/>
          <w:b w:val="0"/>
          <w:bCs/>
          <w:sz w:val="28"/>
          <w:szCs w:val="28"/>
          <w:lang w:val="en-US" w:eastAsia="zh-CN"/>
        </w:rPr>
      </w:pPr>
      <w:r>
        <w:rPr>
          <w:rStyle w:val="40"/>
          <w:rFonts w:hint="eastAsia"/>
          <w:b w:val="0"/>
          <w:bCs/>
          <w:sz w:val="28"/>
          <w:szCs w:val="28"/>
          <w:lang w:val="en-US" w:eastAsia="zh-CN"/>
        </w:rPr>
        <w:t>此次招标除三元体系用CMC外，还招磷酸铁锂体系CMC，磷酸铁锂有储能用电池和动力电池用。投标时在报价里进行标注。</w:t>
      </w:r>
    </w:p>
    <w:p>
      <w:pPr>
        <w:overflowPunct w:val="0"/>
        <w:spacing w:line="360" w:lineRule="auto"/>
        <w:jc w:val="both"/>
        <w:outlineLvl w:val="0"/>
        <w:rPr>
          <w:rStyle w:val="35"/>
          <w:b w:val="0"/>
          <w:sz w:val="28"/>
          <w:szCs w:val="28"/>
        </w:rPr>
      </w:pPr>
    </w:p>
    <w:p>
      <w:pPr>
        <w:bidi w:val="0"/>
        <w:rPr>
          <w:rStyle w:val="35"/>
          <w:b w:val="0"/>
          <w:sz w:val="28"/>
          <w:szCs w:val="28"/>
        </w:rPr>
      </w:pPr>
    </w:p>
    <w:p>
      <w:pPr>
        <w:bidi w:val="0"/>
        <w:rPr>
          <w:rStyle w:val="35"/>
          <w:b w:val="0"/>
          <w:sz w:val="28"/>
          <w:szCs w:val="28"/>
        </w:rPr>
      </w:pPr>
    </w:p>
    <w:p>
      <w:pPr>
        <w:tabs>
          <w:tab w:val="left" w:pos="2233"/>
        </w:tabs>
        <w:bidi w:val="0"/>
        <w:jc w:val="left"/>
        <w:rPr>
          <w:rStyle w:val="35"/>
          <w:rFonts w:hint="eastAsia" w:eastAsia="宋体"/>
          <w:b w:val="0"/>
          <w:sz w:val="28"/>
          <w:szCs w:val="28"/>
          <w:lang w:eastAsia="zh-CN"/>
        </w:rPr>
      </w:pPr>
      <w:r>
        <w:rPr>
          <w:rStyle w:val="35"/>
          <w:rFonts w:hint="eastAsia"/>
          <w:b w:val="0"/>
          <w:sz w:val="28"/>
          <w:szCs w:val="28"/>
          <w:lang w:eastAsia="zh-CN"/>
        </w:rPr>
        <w:tab/>
      </w:r>
    </w:p>
    <w:p>
      <w:pPr>
        <w:tabs>
          <w:tab w:val="left" w:pos="2233"/>
        </w:tabs>
        <w:bidi w:val="0"/>
        <w:jc w:val="left"/>
        <w:rPr>
          <w:rStyle w:val="35"/>
          <w:rFonts w:hint="eastAsia" w:eastAsia="宋体"/>
          <w:b w:val="0"/>
          <w:sz w:val="28"/>
          <w:szCs w:val="28"/>
          <w:lang w:eastAsia="zh-CN"/>
        </w:rPr>
        <w:sectPr>
          <w:pgSz w:w="11906" w:h="16838"/>
          <w:pgMar w:top="1440" w:right="1800" w:bottom="1440" w:left="1800" w:header="567" w:footer="567" w:gutter="0"/>
          <w:pgNumType w:fmt="numberInDash"/>
          <w:cols w:space="720" w:num="1"/>
          <w:docGrid w:type="lines" w:linePitch="383" w:charSpace="0"/>
        </w:sectPr>
      </w:pP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tbl>
      <w:tblPr>
        <w:tblStyle w:val="23"/>
        <w:tblpPr w:leftFromText="180" w:rightFromText="180" w:vertAnchor="text" w:horzAnchor="margin" w:tblpXSpec="center" w:tblpY="666"/>
        <w:tblOverlap w:val="never"/>
        <w:tblW w:w="100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3"/>
        <w:gridCol w:w="1322"/>
        <w:gridCol w:w="1539"/>
        <w:gridCol w:w="2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5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3" w:type="dxa"/>
          </w:tcPr>
          <w:p>
            <w:pPr>
              <w:widowControl/>
              <w:spacing w:line="400" w:lineRule="exact"/>
              <w:jc w:val="center"/>
              <w:rPr>
                <w:rFonts w:ascii="宋体" w:hAnsi="宋体" w:cs="宋体"/>
                <w:kern w:val="0"/>
                <w:szCs w:val="21"/>
              </w:rPr>
            </w:pPr>
            <w:r>
              <w:rPr>
                <w:rFonts w:hint="eastAsia" w:ascii="宋体" w:hAnsi="宋体" w:cs="宋体"/>
                <w:kern w:val="0"/>
                <w:szCs w:val="21"/>
                <w:lang w:val="en-US" w:eastAsia="zh-CN"/>
              </w:rPr>
              <w:t>产品</w:t>
            </w:r>
            <w:r>
              <w:rPr>
                <w:rFonts w:hint="eastAsia" w:ascii="宋体" w:hAnsi="宋体" w:cs="宋体"/>
                <w:kern w:val="0"/>
                <w:szCs w:val="21"/>
              </w:rPr>
              <w:t>名称</w:t>
            </w:r>
          </w:p>
        </w:tc>
        <w:tc>
          <w:tcPr>
            <w:tcW w:w="1322" w:type="dxa"/>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规格</w:t>
            </w:r>
            <w:r>
              <w:rPr>
                <w:rFonts w:hint="eastAsia" w:ascii="宋体" w:hAnsi="宋体" w:cs="宋体"/>
                <w:kern w:val="0"/>
                <w:szCs w:val="21"/>
                <w:lang w:val="en-US" w:eastAsia="zh-CN"/>
              </w:rPr>
              <w:t>型号</w:t>
            </w:r>
          </w:p>
        </w:tc>
        <w:tc>
          <w:tcPr>
            <w:tcW w:w="1539"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2316"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电汇贴息比例（甲方付电汇时）</w:t>
            </w:r>
          </w:p>
        </w:tc>
        <w:tc>
          <w:tcPr>
            <w:tcW w:w="2686"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0" w:type="dxa"/>
          </w:tcPr>
          <w:p>
            <w:pPr>
              <w:spacing w:line="400" w:lineRule="exact"/>
              <w:jc w:val="center"/>
              <w:rPr>
                <w:rFonts w:ascii="宋体" w:hAnsi="宋体" w:cs="宋体"/>
                <w:szCs w:val="21"/>
              </w:rPr>
            </w:pPr>
            <w:r>
              <w:rPr>
                <w:rFonts w:hint="eastAsia" w:ascii="宋体" w:hAnsi="宋体" w:cs="宋体"/>
                <w:szCs w:val="21"/>
              </w:rPr>
              <w:t>1</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ascii="宋体" w:hAnsi="宋体" w:cs="宋体"/>
                <w:szCs w:val="21"/>
              </w:rPr>
            </w:pPr>
            <w:r>
              <w:rPr>
                <w:rFonts w:hint="eastAsia" w:ascii="宋体" w:hAnsi="宋体" w:cs="宋体"/>
                <w:szCs w:val="21"/>
              </w:rPr>
              <w:t>2</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bl>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w:t>
      </w:r>
      <w:r>
        <w:rPr>
          <w:rFonts w:hint="eastAsia" w:ascii="宋体" w:hAnsi="宋体" w:eastAsia="宋体"/>
          <w:color w:val="auto"/>
          <w:szCs w:val="21"/>
        </w:rPr>
        <w:t>双方一致同意在合同有效期内全年执行不高于上述标准，</w:t>
      </w:r>
      <w:r>
        <w:rPr>
          <w:rFonts w:hint="eastAsia" w:ascii="宋体" w:hAnsi="宋体" w:eastAsia="宋体"/>
          <w:szCs w:val="21"/>
        </w:rPr>
        <w:t>未经双方协商一致同意，乙方不得擅自提高上述任一产品</w:t>
      </w:r>
      <w:r>
        <w:rPr>
          <w:rFonts w:hint="eastAsia" w:ascii="宋体" w:hAnsi="宋体"/>
          <w:szCs w:val="21"/>
          <w:lang w:val="en-US" w:eastAsia="zh-CN"/>
        </w:rPr>
        <w:t>的价格</w:t>
      </w:r>
      <w:r>
        <w:rPr>
          <w:rFonts w:hint="eastAsia" w:ascii="宋体" w:hAnsi="宋体" w:eastAsia="宋体"/>
          <w:szCs w:val="21"/>
        </w:rPr>
        <w:t>。</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314D6"/>
    <w:rsid w:val="03487ED1"/>
    <w:rsid w:val="13236FF0"/>
    <w:rsid w:val="13555E68"/>
    <w:rsid w:val="1E9A5176"/>
    <w:rsid w:val="27E76278"/>
    <w:rsid w:val="2B996F06"/>
    <w:rsid w:val="3C815DCA"/>
    <w:rsid w:val="407E20B3"/>
    <w:rsid w:val="428F5895"/>
    <w:rsid w:val="48586F77"/>
    <w:rsid w:val="4F8F6FF6"/>
    <w:rsid w:val="555807AC"/>
    <w:rsid w:val="5DF96FE6"/>
    <w:rsid w:val="6BA90FAA"/>
    <w:rsid w:val="6DDF1ECE"/>
    <w:rsid w:val="715053ED"/>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 w:type="character" w:customStyle="1" w:styleId="40">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2020-12-09T12:32:44Z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