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1115</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w:t>
      </w:r>
      <w:r>
        <w:rPr>
          <w:rFonts w:hint="eastAsia"/>
          <w:sz w:val="36"/>
          <w:szCs w:val="36"/>
          <w:lang w:val="en-US" w:eastAsia="zh-CN"/>
        </w:rPr>
        <w:t>1</w:t>
      </w:r>
      <w:r>
        <w:rPr>
          <w:rFonts w:hint="eastAsia"/>
          <w:sz w:val="36"/>
          <w:szCs w:val="36"/>
        </w:rPr>
        <w:t>1月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xml:space="preserve">- </w:t>
      </w:r>
      <w:r>
        <w:rPr>
          <w:rFonts w:hint="eastAsia"/>
          <w:b/>
          <w:bCs/>
          <w:color w:val="0000FF"/>
          <w:sz w:val="24"/>
          <w:lang w:val="en-US" w:eastAsia="zh-CN"/>
        </w:rPr>
        <w:t>22</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5"/>
          <w:sz w:val="28"/>
          <w:szCs w:val="28"/>
        </w:rPr>
      </w:pPr>
    </w:p>
    <w:p>
      <w:pPr>
        <w:widowControl/>
        <w:jc w:val="left"/>
        <w:rPr>
          <w:rStyle w:val="35"/>
          <w:sz w:val="28"/>
          <w:szCs w:val="28"/>
        </w:rPr>
      </w:pPr>
      <w:r>
        <w:rPr>
          <w:rStyle w:val="35"/>
          <w:sz w:val="28"/>
          <w:szCs w:val="28"/>
        </w:rPr>
        <w:br w:type="page"/>
      </w:r>
    </w:p>
    <w:p>
      <w:pPr>
        <w:widowControl/>
        <w:jc w:val="left"/>
        <w:rPr>
          <w:rStyle w:val="35"/>
          <w:sz w:val="28"/>
          <w:szCs w:val="28"/>
        </w:rPr>
      </w:pPr>
    </w:p>
    <w:p>
      <w:pPr>
        <w:overflowPunct w:val="0"/>
        <w:spacing w:line="360" w:lineRule="auto"/>
        <w:jc w:val="center"/>
        <w:outlineLvl w:val="0"/>
        <w:rPr>
          <w:rFonts w:ascii="宋体" w:hAnsi="宋体"/>
          <w:b/>
          <w:sz w:val="36"/>
          <w:szCs w:val="36"/>
        </w:rPr>
      </w:pPr>
      <w:bookmarkStart w:id="0" w:name="_Toc509413672"/>
      <w:bookmarkStart w:id="1" w:name="_Toc509411550"/>
      <w:bookmarkStart w:id="2" w:name="_Toc508467345"/>
      <w:bookmarkStart w:id="3" w:name="_Toc509411470"/>
      <w:r>
        <w:rPr>
          <w:rStyle w:val="35"/>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szCs w:val="21"/>
              </w:rPr>
            </w:pPr>
            <w:r>
              <w:rPr>
                <w:rFonts w:hint="eastAsia" w:ascii="宋体" w:hAnsi="宋体"/>
                <w:bCs/>
                <w:szCs w:val="21"/>
              </w:rPr>
              <w:t>2020年1</w:t>
            </w:r>
            <w:r>
              <w:rPr>
                <w:rFonts w:hint="eastAsia" w:ascii="宋体" w:hAnsi="宋体"/>
                <w:bCs/>
                <w:szCs w:val="21"/>
                <w:lang w:val="en-US" w:eastAsia="zh-CN"/>
              </w:rPr>
              <w:t>1</w:t>
            </w:r>
            <w:r>
              <w:rPr>
                <w:rFonts w:hint="eastAsia" w:ascii="宋体" w:hAnsi="宋体"/>
                <w:bCs/>
                <w:szCs w:val="21"/>
              </w:rPr>
              <w:t>月-2021年12月隔膜采购项目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预估总需求数量</w:t>
            </w:r>
          </w:p>
        </w:tc>
        <w:tc>
          <w:tcPr>
            <w:tcW w:w="5522" w:type="dxa"/>
            <w:vAlign w:val="center"/>
          </w:tcPr>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PE陶瓷隔膜：2948.96万平米</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PP陶瓷隔膜：504万平米</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PP基膜：181.2万平米</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油系PE涂胶隔膜：1587万平米</w:t>
            </w:r>
          </w:p>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水系PE涂胶隔膜：572万平米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sz w:val="21"/>
                <w:szCs w:val="21"/>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依照招标文件规范进行密封后，在投标截止时间之前专人提交或特快专递提交招标人。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ascii="宋体" w:hAnsi="宋体"/>
                <w:bCs/>
                <w:szCs w:val="21"/>
              </w:rPr>
            </w:pPr>
            <w:r>
              <w:rPr>
                <w:rFonts w:hint="eastAsia" w:ascii="宋体" w:hAnsi="宋体"/>
                <w:bCs/>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w:t>
            </w:r>
            <w:r>
              <w:rPr>
                <w:rFonts w:hint="eastAsia" w:ascii="宋体" w:hAnsi="宋体"/>
                <w:bCs/>
                <w:szCs w:val="21"/>
                <w:lang w:val="en-US" w:eastAsia="zh-CN"/>
              </w:rPr>
              <w:t>11</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2020年1</w:t>
            </w:r>
            <w:r>
              <w:rPr>
                <w:rFonts w:hint="eastAsia" w:ascii="宋体" w:hAnsi="宋体"/>
                <w:bCs/>
                <w:szCs w:val="21"/>
                <w:lang w:val="en-US" w:eastAsia="zh-CN"/>
              </w:rPr>
              <w:t>1</w:t>
            </w:r>
            <w:r>
              <w:rPr>
                <w:rFonts w:hint="eastAsia" w:ascii="宋体" w:hAnsi="宋体"/>
                <w:bCs/>
                <w:szCs w:val="21"/>
              </w:rPr>
              <w:t>月</w:t>
            </w:r>
            <w:r>
              <w:rPr>
                <w:rFonts w:hint="eastAsia" w:ascii="宋体" w:hAnsi="宋体"/>
                <w:bCs/>
                <w:szCs w:val="21"/>
                <w:lang w:val="en-US" w:eastAsia="zh-CN"/>
              </w:rPr>
              <w:t>26</w:t>
            </w:r>
            <w:r>
              <w:rPr>
                <w:rFonts w:hint="eastAsia" w:ascii="宋体" w:hAnsi="宋体"/>
                <w:bCs/>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 xml:space="preserve">12                   </w:t>
            </w:r>
          </w:p>
        </w:tc>
        <w:tc>
          <w:tcPr>
            <w:tcW w:w="2303" w:type="dxa"/>
            <w:vAlign w:val="top"/>
          </w:tcPr>
          <w:p>
            <w:pPr>
              <w:overflowPunct w:val="0"/>
              <w:spacing w:line="340" w:lineRule="exact"/>
              <w:jc w:val="center"/>
              <w:rPr>
                <w:rFonts w:ascii="宋体" w:hAnsi="宋体"/>
                <w:bCs/>
                <w:szCs w:val="21"/>
              </w:rPr>
            </w:pPr>
          </w:p>
          <w:p>
            <w:pPr>
              <w:jc w:val="center"/>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1"/>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1"/>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13</w:t>
            </w:r>
          </w:p>
        </w:tc>
        <w:tc>
          <w:tcPr>
            <w:tcW w:w="2303" w:type="dxa"/>
            <w:vAlign w:val="top"/>
          </w:tcPr>
          <w:p>
            <w:pPr>
              <w:overflowPunct w:val="0"/>
              <w:spacing w:line="340" w:lineRule="exact"/>
              <w:jc w:val="center"/>
              <w:rPr>
                <w:rFonts w:ascii="宋体" w:hAnsi="宋体"/>
                <w:bCs/>
                <w:szCs w:val="21"/>
              </w:rPr>
            </w:pPr>
            <w:r>
              <w:rPr>
                <w:rFonts w:hint="eastAsia" w:ascii="宋体" w:hAnsi="宋体" w:cs="宋体"/>
                <w:bCs/>
                <w:kern w:val="0"/>
                <w:szCs w:val="21"/>
              </w:rPr>
              <w:t>招标监督信息</w:t>
            </w:r>
          </w:p>
        </w:tc>
        <w:tc>
          <w:tcPr>
            <w:tcW w:w="5522" w:type="dxa"/>
            <w:vAlign w:val="top"/>
          </w:tcPr>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1"/>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5"/>
          <w:sz w:val="28"/>
          <w:szCs w:val="28"/>
        </w:rPr>
      </w:pPr>
      <w:r>
        <w:rPr>
          <w:rFonts w:hint="eastAsia"/>
        </w:rPr>
        <w:br w:type="page"/>
      </w:r>
      <w:bookmarkStart w:id="4" w:name="_Toc509411471"/>
      <w:bookmarkStart w:id="5" w:name="_Toc7456"/>
      <w:bookmarkStart w:id="6" w:name="_Toc508467346"/>
      <w:bookmarkStart w:id="7" w:name="_Toc19073"/>
      <w:bookmarkStart w:id="8" w:name="_Toc509413673"/>
      <w:bookmarkStart w:id="9" w:name="_Toc509411551"/>
      <w:bookmarkStart w:id="10" w:name="_Toc509413674"/>
      <w:bookmarkStart w:id="11" w:name="_Toc509411472"/>
      <w:bookmarkStart w:id="12" w:name="_Toc509411552"/>
      <w:bookmarkStart w:id="13" w:name="_Toc509411554"/>
      <w:bookmarkStart w:id="14" w:name="_Toc509413676"/>
      <w:bookmarkStart w:id="15" w:name="_Toc509411475"/>
      <w:bookmarkStart w:id="16" w:name="_Toc509411474"/>
      <w:bookmarkStart w:id="17" w:name="_Toc509411555"/>
      <w:r>
        <w:rPr>
          <w:rStyle w:val="35"/>
          <w:rFonts w:hint="eastAsia"/>
          <w:sz w:val="28"/>
          <w:szCs w:val="28"/>
        </w:rPr>
        <w:t>投标须知</w:t>
      </w:r>
    </w:p>
    <w:p>
      <w:pPr>
        <w:overflowPunct w:val="0"/>
        <w:spacing w:line="360" w:lineRule="auto"/>
        <w:outlineLvl w:val="0"/>
        <w:rPr>
          <w:rStyle w:val="35"/>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8" w:name="_Toc8039"/>
      <w:r>
        <w:rPr>
          <w:rFonts w:hint="eastAsia" w:ascii="宋体" w:hAnsi="宋体" w:cs="宋体"/>
          <w:b/>
          <w:sz w:val="24"/>
        </w:rPr>
        <w:t>1. 说明</w:t>
      </w:r>
      <w:bookmarkEnd w:id="18"/>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w:t>
      </w:r>
      <w:r>
        <w:rPr>
          <w:rFonts w:hint="eastAsia" w:ascii="宋体" w:hAnsi="宋体" w:cs="宋体"/>
          <w:b/>
          <w:sz w:val="24"/>
          <w:u w:val="single"/>
          <w:lang w:val="en-US" w:eastAsia="zh-CN"/>
        </w:rPr>
        <w:t>年11月</w:t>
      </w:r>
      <w:r>
        <w:rPr>
          <w:rFonts w:hint="eastAsia" w:ascii="宋体" w:hAnsi="宋体" w:cs="宋体"/>
          <w:b/>
          <w:sz w:val="24"/>
          <w:u w:val="single"/>
        </w:rPr>
        <w:t>-2021年</w:t>
      </w:r>
      <w:r>
        <w:rPr>
          <w:rFonts w:hint="eastAsia" w:ascii="宋体" w:hAnsi="宋体" w:cs="宋体"/>
          <w:b/>
          <w:sz w:val="24"/>
          <w:u w:val="single"/>
          <w:lang w:val="en-US" w:eastAsia="zh-CN"/>
        </w:rPr>
        <w:t>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9" w:name="_Toc29031"/>
      <w:bookmarkStart w:id="20" w:name="_Toc3393"/>
      <w:r>
        <w:rPr>
          <w:rFonts w:hint="eastAsia" w:ascii="宋体" w:hAnsi="宋体" w:cs="宋体"/>
          <w:b/>
          <w:sz w:val="24"/>
        </w:rPr>
        <w:t>2. 词语释义</w:t>
      </w:r>
      <w:bookmarkEnd w:id="19"/>
      <w:bookmarkEnd w:id="20"/>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21" w:name="_Toc12828"/>
      <w:bookmarkStart w:id="22" w:name="_Toc30720"/>
      <w:r>
        <w:rPr>
          <w:rFonts w:hint="eastAsia" w:ascii="宋体" w:hAnsi="宋体" w:cs="宋体"/>
          <w:b/>
          <w:sz w:val="24"/>
        </w:rPr>
        <w:t>B 投标人</w:t>
      </w:r>
      <w:bookmarkEnd w:id="21"/>
      <w:bookmarkEnd w:id="22"/>
    </w:p>
    <w:p>
      <w:pPr>
        <w:rPr>
          <w:rFonts w:ascii="宋体" w:hAnsi="宋体" w:cs="宋体"/>
          <w:b/>
          <w:sz w:val="24"/>
        </w:rPr>
      </w:pPr>
      <w:bookmarkStart w:id="23" w:name="_Toc27382"/>
      <w:bookmarkStart w:id="24" w:name="_Toc26778"/>
      <w:r>
        <w:rPr>
          <w:rFonts w:hint="eastAsia" w:ascii="宋体" w:hAnsi="宋体" w:cs="宋体"/>
          <w:b/>
          <w:sz w:val="24"/>
        </w:rPr>
        <w:t>3. 合格投标人的条件</w:t>
      </w:r>
      <w:bookmarkEnd w:id="23"/>
      <w:bookmarkEnd w:id="24"/>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5" w:name="_Toc29912"/>
      <w:bookmarkStart w:id="26" w:name="_Toc23308"/>
      <w:r>
        <w:rPr>
          <w:rFonts w:hint="eastAsia" w:ascii="宋体" w:hAnsi="宋体" w:cs="宋体"/>
          <w:b/>
          <w:sz w:val="24"/>
        </w:rPr>
        <w:t>4. 投标人代表</w:t>
      </w:r>
      <w:bookmarkEnd w:id="25"/>
      <w:bookmarkEnd w:id="26"/>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7" w:name="_Toc31186"/>
      <w:bookmarkStart w:id="28" w:name="_Toc681"/>
      <w:r>
        <w:rPr>
          <w:rFonts w:hint="eastAsia" w:ascii="宋体" w:hAnsi="宋体" w:cs="宋体"/>
          <w:b/>
          <w:sz w:val="24"/>
        </w:rPr>
        <w:t>5. 费用</w:t>
      </w:r>
      <w:bookmarkEnd w:id="27"/>
      <w:bookmarkEnd w:id="28"/>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9" w:name="_Toc27626"/>
      <w:bookmarkStart w:id="30" w:name="_Toc814"/>
      <w:r>
        <w:rPr>
          <w:rFonts w:hint="eastAsia" w:ascii="宋体" w:hAnsi="宋体" w:cs="宋体"/>
          <w:b/>
          <w:sz w:val="24"/>
        </w:rPr>
        <w:t>C 招标文件说明</w:t>
      </w:r>
      <w:bookmarkEnd w:id="29"/>
      <w:bookmarkEnd w:id="30"/>
    </w:p>
    <w:p>
      <w:pPr>
        <w:rPr>
          <w:rFonts w:ascii="宋体" w:hAnsi="宋体" w:cs="宋体"/>
          <w:b/>
          <w:sz w:val="24"/>
        </w:rPr>
      </w:pPr>
      <w:bookmarkStart w:id="31" w:name="_Toc23984"/>
      <w:bookmarkStart w:id="32" w:name="_Toc14605"/>
      <w:r>
        <w:rPr>
          <w:rFonts w:hint="eastAsia" w:ascii="宋体" w:hAnsi="宋体" w:cs="宋体"/>
          <w:b/>
          <w:sz w:val="24"/>
        </w:rPr>
        <w:t>6. 招标文件</w:t>
      </w:r>
      <w:bookmarkEnd w:id="31"/>
      <w:bookmarkEnd w:id="32"/>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33" w:name="_Toc27675"/>
      <w:bookmarkStart w:id="34" w:name="_Toc31584"/>
      <w:r>
        <w:rPr>
          <w:rFonts w:hint="eastAsia" w:ascii="宋体" w:hAnsi="宋体" w:cs="宋体"/>
          <w:b/>
          <w:sz w:val="24"/>
        </w:rPr>
        <w:t>7. 对招标文件的澄清</w:t>
      </w:r>
      <w:bookmarkEnd w:id="33"/>
      <w:bookmarkEnd w:id="34"/>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5" w:name="_Toc10722"/>
      <w:bookmarkStart w:id="36" w:name="_Toc8693"/>
      <w:r>
        <w:rPr>
          <w:rFonts w:hint="eastAsia" w:ascii="宋体" w:hAnsi="宋体" w:cs="宋体"/>
          <w:b/>
          <w:sz w:val="24"/>
        </w:rPr>
        <w:t>8. 招标文件的修改</w:t>
      </w:r>
      <w:bookmarkEnd w:id="35"/>
      <w:bookmarkEnd w:id="36"/>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7" w:name="_Toc9695"/>
      <w:bookmarkStart w:id="38" w:name="_Toc27720"/>
      <w:r>
        <w:rPr>
          <w:rFonts w:hint="eastAsia" w:ascii="宋体" w:hAnsi="宋体" w:cs="宋体"/>
          <w:b/>
          <w:sz w:val="24"/>
        </w:rPr>
        <w:t>D投标文件说明</w:t>
      </w:r>
      <w:bookmarkEnd w:id="37"/>
      <w:bookmarkEnd w:id="38"/>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9" w:name="_Toc9100"/>
      <w:bookmarkStart w:id="40" w:name="_Toc23579"/>
      <w:r>
        <w:rPr>
          <w:rFonts w:ascii="Arial" w:hAnsi="Arial" w:cs="Arial"/>
          <w:b/>
          <w:sz w:val="24"/>
        </w:rPr>
        <w:t>＊</w:t>
      </w:r>
      <w:r>
        <w:rPr>
          <w:rFonts w:hint="eastAsia" w:ascii="宋体" w:hAnsi="宋体" w:cs="宋体"/>
          <w:b/>
          <w:sz w:val="24"/>
        </w:rPr>
        <w:t>10. 投标文件计量单位和使用文字</w:t>
      </w:r>
      <w:bookmarkEnd w:id="39"/>
      <w:bookmarkEnd w:id="40"/>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41" w:name="_Toc10482"/>
      <w:bookmarkStart w:id="42" w:name="_Toc32010"/>
      <w:r>
        <w:rPr>
          <w:rFonts w:ascii="Arial" w:hAnsi="Arial" w:cs="Arial"/>
          <w:b/>
          <w:sz w:val="24"/>
        </w:rPr>
        <w:t>＊</w:t>
      </w:r>
      <w:r>
        <w:rPr>
          <w:rFonts w:hint="eastAsia" w:ascii="宋体" w:hAnsi="宋体" w:cs="宋体"/>
          <w:b/>
          <w:sz w:val="24"/>
        </w:rPr>
        <w:t>11. 投标文件的组成</w:t>
      </w:r>
      <w:bookmarkEnd w:id="41"/>
      <w:bookmarkEnd w:id="42"/>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 投标文件由11.2、11.3和11.4款规定的内容共同组成</w:t>
      </w:r>
    </w:p>
    <w:p>
      <w:pPr>
        <w:rPr>
          <w:rFonts w:ascii="宋体" w:hAnsi="宋体" w:cs="宋体"/>
          <w:b/>
          <w:bCs/>
          <w:szCs w:val="21"/>
          <w:highlight w:val="red"/>
        </w:rPr>
      </w:pPr>
      <w:r>
        <w:rPr>
          <w:rFonts w:hint="eastAsia" w:ascii="宋体" w:hAnsi="宋体" w:cs="宋体"/>
          <w:b/>
          <w:bCs/>
          <w:szCs w:val="21"/>
          <w:highlight w:val="red"/>
        </w:rPr>
        <w:t>11.1.1.上述文件需分别装订包装（不接受不装钉的标书）</w:t>
      </w:r>
    </w:p>
    <w:p>
      <w:pPr>
        <w:rPr>
          <w:rFonts w:ascii="宋体" w:hAnsi="宋体" w:cs="宋体"/>
          <w:b/>
          <w:bCs/>
          <w:szCs w:val="21"/>
          <w:highlight w:val="red"/>
        </w:rPr>
      </w:pPr>
      <w:r>
        <w:rPr>
          <w:rFonts w:hint="eastAsia" w:ascii="宋体" w:hAnsi="宋体" w:cs="宋体"/>
          <w:b/>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highlight w:val="red"/>
        </w:rPr>
      </w:pPr>
      <w:r>
        <w:rPr>
          <w:rFonts w:hint="eastAsia" w:ascii="宋体" w:hAnsi="宋体" w:cs="宋体"/>
          <w:b/>
          <w:bCs/>
          <w:szCs w:val="21"/>
          <w:highlight w:val="red"/>
        </w:rPr>
        <w:t>*</w:t>
      </w:r>
      <w:r>
        <w:rPr>
          <w:rFonts w:hint="eastAsia" w:ascii="宋体" w:hAnsi="宋体" w:cs="宋体"/>
          <w:b/>
          <w:color w:val="000000"/>
          <w:sz w:val="24"/>
          <w:highlight w:val="red"/>
        </w:rPr>
        <w:t>11.3.商务文件（单独密封）：</w:t>
      </w:r>
    </w:p>
    <w:p>
      <w:pPr>
        <w:pStyle w:val="29"/>
        <w:numPr>
          <w:ilvl w:val="0"/>
          <w:numId w:val="3"/>
        </w:numPr>
        <w:ind w:left="3256" w:firstLineChars="0"/>
        <w:rPr>
          <w:rFonts w:ascii="宋体" w:hAnsi="宋体" w:cs="宋体"/>
          <w:b/>
          <w:bCs/>
          <w:color w:val="000000"/>
          <w:sz w:val="24"/>
          <w:highlight w:val="red"/>
          <w:u w:val="single"/>
        </w:rPr>
      </w:pPr>
      <w:bookmarkStart w:id="43" w:name="_Toc17069"/>
      <w:bookmarkStart w:id="44" w:name="_Toc4969"/>
      <w:r>
        <w:rPr>
          <w:rFonts w:hint="eastAsia" w:ascii="宋体" w:hAnsi="宋体" w:cs="宋体"/>
          <w:b/>
          <w:bCs/>
          <w:color w:val="000000"/>
          <w:sz w:val="24"/>
          <w:highlight w:val="red"/>
          <w:u w:val="single"/>
        </w:rPr>
        <w:t>报价一览表(附件５)；</w:t>
      </w:r>
      <w:bookmarkEnd w:id="43"/>
      <w:bookmarkEnd w:id="44"/>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报价明细表（附件６）；</w:t>
      </w:r>
    </w:p>
    <w:p>
      <w:pPr>
        <w:pStyle w:val="29"/>
        <w:numPr>
          <w:ilvl w:val="0"/>
          <w:numId w:val="3"/>
        </w:numPr>
        <w:ind w:left="3256" w:firstLineChars="0"/>
        <w:rPr>
          <w:rFonts w:ascii="宋体" w:hAnsi="宋体" w:cs="宋体"/>
          <w:b/>
          <w:bCs/>
          <w:color w:val="000000"/>
          <w:sz w:val="24"/>
          <w:highlight w:val="red"/>
          <w:u w:val="single"/>
        </w:rPr>
      </w:pPr>
      <w:bookmarkStart w:id="45" w:name="_Toc12091"/>
      <w:bookmarkStart w:id="46" w:name="_Toc24159"/>
      <w:r>
        <w:rPr>
          <w:rFonts w:hint="eastAsia" w:ascii="宋体" w:hAnsi="宋体" w:cs="宋体"/>
          <w:b/>
          <w:bCs/>
          <w:color w:val="000000"/>
          <w:sz w:val="24"/>
          <w:highlight w:val="red"/>
          <w:u w:val="single"/>
        </w:rPr>
        <w:t>合同条款偏离表</w:t>
      </w:r>
      <w:bookmarkEnd w:id="45"/>
      <w:bookmarkEnd w:id="46"/>
      <w:r>
        <w:rPr>
          <w:rFonts w:hint="eastAsia" w:ascii="宋体" w:hAnsi="宋体" w:cs="宋体"/>
          <w:b/>
          <w:bCs/>
          <w:color w:val="000000"/>
          <w:sz w:val="24"/>
          <w:highlight w:val="red"/>
          <w:u w:val="single"/>
        </w:rPr>
        <w:t>（附件７）。</w:t>
      </w:r>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供应商质量基本要求偏离表（附件8）</w:t>
      </w:r>
    </w:p>
    <w:p>
      <w:pPr>
        <w:rPr>
          <w:rFonts w:ascii="宋体" w:hAnsi="宋体" w:cs="宋体"/>
          <w:b/>
          <w:color w:val="000000"/>
          <w:sz w:val="24"/>
        </w:rPr>
      </w:pPr>
      <w:bookmarkStart w:id="47" w:name="_Toc23718"/>
      <w:bookmarkStart w:id="48" w:name="_Toc8081"/>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7"/>
    <w:bookmarkEnd w:id="48"/>
    <w:p>
      <w:pPr>
        <w:rPr>
          <w:rFonts w:ascii="宋体" w:hAnsi="宋体" w:cs="宋体"/>
          <w:b/>
          <w:sz w:val="24"/>
        </w:rPr>
      </w:pPr>
      <w:bookmarkStart w:id="49" w:name="_Toc819"/>
      <w:bookmarkStart w:id="50" w:name="_Toc32007"/>
      <w:r>
        <w:rPr>
          <w:rFonts w:hint="eastAsia" w:ascii="宋体" w:hAnsi="宋体" w:cs="宋体"/>
          <w:b/>
          <w:bCs/>
          <w:szCs w:val="21"/>
        </w:rPr>
        <w:t>*</w:t>
      </w:r>
      <w:r>
        <w:rPr>
          <w:rFonts w:hint="eastAsia" w:ascii="宋体" w:hAnsi="宋体" w:cs="宋体"/>
          <w:b/>
          <w:sz w:val="24"/>
        </w:rPr>
        <w:t>14. 投标保证金</w:t>
      </w:r>
      <w:bookmarkEnd w:id="49"/>
      <w:bookmarkEnd w:id="50"/>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51" w:name="_Toc8079"/>
      <w:bookmarkStart w:id="52" w:name="_Toc18240"/>
      <w:r>
        <w:rPr>
          <w:rFonts w:hint="eastAsia" w:ascii="宋体" w:hAnsi="宋体" w:cs="宋体"/>
          <w:sz w:val="24"/>
        </w:rPr>
        <w:t>14.5.3. 投标人在投标过程中有违反有关法律法规行为的；</w:t>
      </w:r>
      <w:bookmarkEnd w:id="51"/>
      <w:bookmarkEnd w:id="52"/>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53" w:name="_Toc4586"/>
      <w:bookmarkStart w:id="54" w:name="_Toc19793"/>
      <w:r>
        <w:rPr>
          <w:rFonts w:hint="eastAsia" w:ascii="宋体" w:hAnsi="宋体" w:cs="宋体"/>
          <w:sz w:val="24"/>
        </w:rPr>
        <w:t>14.5.5. 中标人不按签订合同约定执行的；</w:t>
      </w:r>
      <w:bookmarkEnd w:id="53"/>
      <w:bookmarkEnd w:id="54"/>
    </w:p>
    <w:p>
      <w:pPr>
        <w:rPr>
          <w:rFonts w:ascii="宋体" w:hAnsi="宋体" w:cs="宋体"/>
          <w:sz w:val="24"/>
        </w:rPr>
      </w:pPr>
      <w:bookmarkStart w:id="55" w:name="_Toc10924"/>
      <w:bookmarkStart w:id="56" w:name="_Toc10986"/>
      <w:r>
        <w:rPr>
          <w:rFonts w:hint="eastAsia" w:ascii="宋体" w:hAnsi="宋体" w:cs="宋体"/>
          <w:b/>
          <w:bCs/>
          <w:szCs w:val="21"/>
        </w:rPr>
        <w:t>*</w:t>
      </w:r>
      <w:r>
        <w:rPr>
          <w:rFonts w:hint="eastAsia" w:ascii="宋体" w:hAnsi="宋体" w:cs="宋体"/>
          <w:sz w:val="24"/>
        </w:rPr>
        <w:t>15. 投标文件的有效期</w:t>
      </w:r>
      <w:bookmarkEnd w:id="55"/>
      <w:bookmarkEnd w:id="56"/>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7" w:name="_Toc10916"/>
      <w:bookmarkStart w:id="58" w:name="_Toc31903"/>
      <w:r>
        <w:rPr>
          <w:rFonts w:hint="eastAsia" w:ascii="宋体" w:hAnsi="宋体" w:cs="宋体"/>
          <w:b/>
          <w:bCs/>
          <w:szCs w:val="21"/>
        </w:rPr>
        <w:t>*</w:t>
      </w:r>
      <w:r>
        <w:rPr>
          <w:rFonts w:hint="eastAsia" w:ascii="宋体" w:hAnsi="宋体" w:cs="宋体"/>
          <w:b/>
          <w:sz w:val="24"/>
        </w:rPr>
        <w:t>16. 投标文件的签署及加密</w:t>
      </w:r>
      <w:bookmarkEnd w:id="57"/>
      <w:bookmarkEnd w:id="58"/>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9" w:name="_Toc23121"/>
      <w:bookmarkStart w:id="60" w:name="_Toc16079"/>
      <w:r>
        <w:rPr>
          <w:rFonts w:hint="eastAsia" w:ascii="宋体" w:hAnsi="宋体" w:cs="宋体"/>
          <w:sz w:val="24"/>
        </w:rPr>
        <w:t>E. 投标文件的递交</w:t>
      </w:r>
      <w:bookmarkEnd w:id="59"/>
      <w:bookmarkEnd w:id="60"/>
    </w:p>
    <w:p>
      <w:pPr>
        <w:rPr>
          <w:rFonts w:ascii="宋体" w:hAnsi="宋体" w:cs="宋体"/>
          <w:b/>
          <w:sz w:val="24"/>
        </w:rPr>
      </w:pPr>
      <w:bookmarkStart w:id="61" w:name="_Toc29058"/>
      <w:bookmarkStart w:id="62" w:name="_Toc3580"/>
      <w:r>
        <w:rPr>
          <w:rFonts w:hint="eastAsia" w:ascii="宋体" w:hAnsi="宋体" w:cs="宋体"/>
          <w:b/>
          <w:sz w:val="24"/>
        </w:rPr>
        <w:t>17. 投标截止时间</w:t>
      </w:r>
      <w:bookmarkEnd w:id="61"/>
      <w:bookmarkEnd w:id="62"/>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63" w:name="_Toc32039"/>
      <w:bookmarkStart w:id="64" w:name="_Toc18815"/>
      <w:r>
        <w:rPr>
          <w:rFonts w:hint="eastAsia" w:ascii="宋体" w:hAnsi="宋体" w:cs="宋体"/>
          <w:b/>
          <w:sz w:val="24"/>
        </w:rPr>
        <w:t>18. 投标文件的修改和撤回</w:t>
      </w:r>
      <w:bookmarkEnd w:id="63"/>
      <w:bookmarkEnd w:id="64"/>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5" w:name="_Toc2574"/>
      <w:bookmarkStart w:id="66" w:name="_Toc30916"/>
      <w:r>
        <w:rPr>
          <w:rFonts w:hint="eastAsia" w:ascii="宋体" w:hAnsi="宋体" w:cs="宋体"/>
          <w:b/>
          <w:sz w:val="24"/>
        </w:rPr>
        <w:t>K、有关本招标文件的任何疑问，可函、电下列联系方式</w:t>
      </w:r>
      <w:bookmarkEnd w:id="65"/>
      <w:bookmarkEnd w:id="66"/>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bookmarkEnd w:id="4"/>
    <w:bookmarkEnd w:id="5"/>
    <w:bookmarkEnd w:id="6"/>
    <w:bookmarkEnd w:id="7"/>
    <w:bookmarkEnd w:id="8"/>
    <w:bookmarkEnd w:id="9"/>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ascii="宋体" w:hAnsi="宋体" w:cs="宋体"/>
          <w:b/>
          <w:sz w:val="32"/>
          <w:szCs w:val="32"/>
        </w:rPr>
      </w:pPr>
      <w:r>
        <w:rPr>
          <w:rFonts w:hint="eastAsia" w:ascii="宋体" w:hAnsi="宋体" w:cs="宋体"/>
          <w:b/>
          <w:sz w:val="32"/>
          <w:szCs w:val="32"/>
        </w:rPr>
        <w:t>招标说明</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采取现场</w:t>
      </w:r>
      <w:r>
        <w:rPr>
          <w:rFonts w:hint="eastAsia" w:ascii="宋体" w:hAnsi="宋体" w:cs="宋体"/>
          <w:b/>
          <w:sz w:val="24"/>
          <w:lang w:val="en-US" w:eastAsia="zh-CN"/>
        </w:rPr>
        <w:t>开</w:t>
      </w:r>
      <w:r>
        <w:rPr>
          <w:rFonts w:hint="eastAsia" w:ascii="宋体" w:hAnsi="宋体" w:cs="宋体"/>
          <w:b/>
          <w:sz w:val="24"/>
        </w:rPr>
        <w:t>标形式，要求投标方销售总监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天，同等价格条件下账期长的优先考虑。</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初次合作的新供方中标后，我司保证在6-7个月内完成测试和引入。</w:t>
      </w:r>
    </w:p>
    <w:p>
      <w:pPr>
        <w:pStyle w:val="29"/>
        <w:ind w:left="360" w:firstLine="0" w:firstLineChars="0"/>
        <w:rPr>
          <w:rFonts w:ascii="宋体" w:hAnsi="宋体" w:cs="宋体"/>
          <w:b/>
          <w:sz w:val="24"/>
        </w:rPr>
      </w:pPr>
    </w:p>
    <w:p>
      <w:pPr>
        <w:overflowPunct w:val="0"/>
        <w:spacing w:line="360" w:lineRule="auto"/>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rStyle w:val="35"/>
          <w:sz w:val="28"/>
          <w:szCs w:val="28"/>
        </w:rPr>
      </w:pPr>
      <w:r>
        <w:rPr>
          <w:rStyle w:val="35"/>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bookmarkStart w:id="71" w:name="_GoBack"/>
      <w:bookmarkEnd w:id="71"/>
    </w:p>
    <w:p>
      <w:pPr>
        <w:rPr>
          <w:rFonts w:ascii="宋体" w:hAnsi="宋体" w:cs="宋体"/>
          <w:szCs w:val="21"/>
        </w:rPr>
      </w:pPr>
      <w:r>
        <w:rPr>
          <w:rFonts w:hint="eastAsia" w:ascii="宋体" w:hAnsi="宋体" w:cs="宋体"/>
          <w:szCs w:val="21"/>
        </w:rPr>
        <w:t>具体见附件</w:t>
      </w:r>
    </w:p>
    <w:bookmarkEnd w:id="10"/>
    <w:bookmarkEnd w:id="11"/>
    <w:bookmarkEnd w:id="12"/>
    <w:p>
      <w:pPr>
        <w:overflowPunct w:val="0"/>
        <w:spacing w:line="360" w:lineRule="auto"/>
        <w:jc w:val="both"/>
        <w:outlineLvl w:val="0"/>
        <w:rPr>
          <w:rStyle w:val="35"/>
          <w:sz w:val="28"/>
          <w:szCs w:val="28"/>
        </w:rPr>
      </w:pPr>
      <w:bookmarkStart w:id="67" w:name="_Toc509413675"/>
      <w:bookmarkStart w:id="68" w:name="_Toc509411553"/>
      <w:bookmarkStart w:id="69" w:name="_Toc509411473"/>
    </w:p>
    <w:p>
      <w:pPr>
        <w:overflowPunct w:val="0"/>
        <w:spacing w:line="360" w:lineRule="auto"/>
        <w:jc w:val="center"/>
        <w:outlineLvl w:val="0"/>
        <w:rPr>
          <w:rStyle w:val="35"/>
          <w:sz w:val="28"/>
          <w:szCs w:val="28"/>
        </w:rPr>
      </w:pPr>
    </w:p>
    <w:p>
      <w:pPr>
        <w:overflowPunct w:val="0"/>
        <w:spacing w:line="360" w:lineRule="auto"/>
        <w:jc w:val="both"/>
        <w:outlineLvl w:val="0"/>
        <w:rPr>
          <w:rStyle w:val="35"/>
          <w:sz w:val="28"/>
          <w:szCs w:val="28"/>
        </w:rPr>
        <w:sectPr>
          <w:footerReference r:id="rId6" w:type="default"/>
          <w:pgSz w:w="11906" w:h="16838"/>
          <w:pgMar w:top="1440" w:right="1800" w:bottom="1440" w:left="1800" w:header="567" w:footer="567" w:gutter="0"/>
          <w:pgNumType w:fmt="numberInDash"/>
          <w:cols w:space="720" w:num="1"/>
          <w:docGrid w:type="lines" w:linePitch="383" w:charSpace="0"/>
        </w:sectPr>
      </w:pPr>
    </w:p>
    <w:p>
      <w:pPr>
        <w:widowControl/>
        <w:numPr>
          <w:ilvl w:val="0"/>
          <w:numId w:val="2"/>
        </w:numPr>
        <w:ind w:left="1050" w:leftChars="0" w:hanging="1050" w:firstLineChars="0"/>
        <w:jc w:val="center"/>
        <w:rPr>
          <w:rStyle w:val="35"/>
          <w:rFonts w:hint="eastAsia"/>
          <w:sz w:val="28"/>
          <w:szCs w:val="28"/>
        </w:rPr>
      </w:pPr>
      <w:r>
        <w:rPr>
          <w:rStyle w:val="35"/>
          <w:rFonts w:hint="eastAsia"/>
          <w:sz w:val="28"/>
          <w:szCs w:val="28"/>
        </w:rPr>
        <w:t>招标技术要求</w:t>
      </w:r>
    </w:p>
    <w:p>
      <w:pPr>
        <w:widowControl/>
        <w:numPr>
          <w:ilvl w:val="0"/>
          <w:numId w:val="2"/>
        </w:numPr>
        <w:ind w:left="1050" w:leftChars="0" w:hanging="1050" w:firstLineChars="0"/>
        <w:jc w:val="center"/>
        <w:rPr>
          <w:rStyle w:val="35"/>
          <w:rFonts w:hint="eastAsia"/>
          <w:sz w:val="28"/>
          <w:szCs w:val="28"/>
        </w:rPr>
      </w:pPr>
    </w:p>
    <w:tbl>
      <w:tblPr>
        <w:tblW w:w="8060" w:type="dxa"/>
        <w:tblInd w:w="0" w:type="dxa"/>
        <w:shd w:val="clear"/>
        <w:tblLayout w:type="autofit"/>
        <w:tblCellMar>
          <w:top w:w="0" w:type="dxa"/>
          <w:left w:w="0" w:type="dxa"/>
          <w:bottom w:w="0" w:type="dxa"/>
          <w:right w:w="0" w:type="dxa"/>
        </w:tblCellMar>
      </w:tblPr>
      <w:tblGrid>
        <w:gridCol w:w="1221"/>
        <w:gridCol w:w="2314"/>
        <w:gridCol w:w="2255"/>
        <w:gridCol w:w="2270"/>
      </w:tblGrid>
      <w:tr>
        <w:tblPrEx>
          <w:shd w:val="clear"/>
          <w:tblCellMar>
            <w:top w:w="0" w:type="dxa"/>
            <w:left w:w="0" w:type="dxa"/>
            <w:bottom w:w="0" w:type="dxa"/>
            <w:right w:w="0" w:type="dxa"/>
          </w:tblCellMar>
        </w:tblPrEx>
        <w:trPr>
          <w:trHeight w:val="652" w:hRule="atLeast"/>
        </w:trPr>
        <w:tc>
          <w:tcPr>
            <w:tcW w:w="8060" w:type="dxa"/>
            <w:gridSpan w:val="4"/>
            <w:tcBorders>
              <w:top w:val="single" w:color="000000" w:sz="8" w:space="0"/>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b/>
                <w:bCs/>
                <w:i w:val="0"/>
                <w:color w:val="000000"/>
                <w:kern w:val="0"/>
                <w:sz w:val="28"/>
                <w:szCs w:val="28"/>
                <w:u w:val="none"/>
                <w:bdr w:val="none" w:color="auto" w:sz="0" w:space="0"/>
                <w:lang w:val="en-US" w:eastAsia="zh-CN" w:bidi="ar"/>
              </w:rPr>
              <w:t>湿法隔膜</w:t>
            </w:r>
          </w:p>
        </w:tc>
      </w:tr>
      <w:tr>
        <w:tblPrEx>
          <w:shd w:val="clear"/>
          <w:tblCellMar>
            <w:top w:w="0" w:type="dxa"/>
            <w:left w:w="0" w:type="dxa"/>
            <w:bottom w:w="0" w:type="dxa"/>
            <w:right w:w="0" w:type="dxa"/>
          </w:tblCellMar>
        </w:tblPrEx>
        <w:trPr>
          <w:trHeight w:val="1224"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型号</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PE（2+12+2）</w:t>
            </w:r>
          </w:p>
        </w:tc>
        <w:tc>
          <w:tcPr>
            <w:tcW w:w="2255" w:type="dxa"/>
            <w:tcBorders>
              <w:top w:val="single" w:color="000000" w:sz="8" w:space="0"/>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PE（12+4）</w:t>
            </w:r>
          </w:p>
        </w:tc>
        <w:tc>
          <w:tcPr>
            <w:tcW w:w="2270" w:type="dxa"/>
            <w:tcBorders>
              <w:top w:val="single" w:color="000000" w:sz="8" w:space="0"/>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PE（9+3）</w:t>
            </w:r>
          </w:p>
        </w:tc>
      </w:tr>
      <w:tr>
        <w:tblPrEx>
          <w:shd w:val="clear"/>
          <w:tblCellMar>
            <w:top w:w="0" w:type="dxa"/>
            <w:left w:w="0" w:type="dxa"/>
            <w:bottom w:w="0" w:type="dxa"/>
            <w:right w:w="0" w:type="dxa"/>
          </w:tblCellMar>
        </w:tblPrEx>
        <w:trPr>
          <w:trHeight w:val="42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面密度</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12~16</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12~16</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8~12</w:t>
            </w:r>
          </w:p>
        </w:tc>
      </w:tr>
      <w:tr>
        <w:tblPrEx>
          <w:shd w:val="clear"/>
          <w:tblCellMar>
            <w:top w:w="0" w:type="dxa"/>
            <w:left w:w="0" w:type="dxa"/>
            <w:bottom w:w="0" w:type="dxa"/>
            <w:right w:w="0" w:type="dxa"/>
          </w:tblCellMar>
        </w:tblPrEx>
        <w:trPr>
          <w:trHeight w:val="42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孔径</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30-50</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30-50</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jc w:val="center"/>
              <w:rPr>
                <w:rFonts w:hint="eastAsia" w:ascii="等线" w:hAnsi="等线" w:eastAsia="等线" w:cs="等线"/>
                <w:i w:val="0"/>
                <w:color w:val="000000"/>
                <w:sz w:val="22"/>
                <w:szCs w:val="22"/>
                <w:u w:val="none"/>
              </w:rPr>
            </w:pPr>
          </w:p>
        </w:tc>
      </w:tr>
      <w:tr>
        <w:tblPrEx>
          <w:shd w:val="clear"/>
          <w:tblCellMar>
            <w:top w:w="0" w:type="dxa"/>
            <w:left w:w="0" w:type="dxa"/>
            <w:bottom w:w="0" w:type="dxa"/>
            <w:right w:w="0" w:type="dxa"/>
          </w:tblCellMar>
        </w:tblPrEx>
        <w:trPr>
          <w:trHeight w:val="42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孔隙率</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40±4</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40±4</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40±4</w:t>
            </w:r>
          </w:p>
        </w:tc>
      </w:tr>
      <w:tr>
        <w:tblPrEx>
          <w:shd w:val="clear"/>
          <w:tblCellMar>
            <w:top w:w="0" w:type="dxa"/>
            <w:left w:w="0" w:type="dxa"/>
            <w:bottom w:w="0" w:type="dxa"/>
            <w:right w:w="0" w:type="dxa"/>
          </w:tblCellMar>
        </w:tblPrEx>
        <w:trPr>
          <w:trHeight w:val="42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透气度</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220±50</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220±50</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200±50</w:t>
            </w:r>
          </w:p>
        </w:tc>
      </w:tr>
      <w:tr>
        <w:tblPrEx>
          <w:shd w:val="clear"/>
          <w:tblCellMar>
            <w:top w:w="0" w:type="dxa"/>
            <w:left w:w="0" w:type="dxa"/>
            <w:bottom w:w="0" w:type="dxa"/>
            <w:right w:w="0" w:type="dxa"/>
          </w:tblCellMar>
        </w:tblPrEx>
        <w:trPr>
          <w:trHeight w:val="91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热缩（130 1h）</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MD≤3；TD≤2.5</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MD≤3；TD≤2.5</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MD≤3；TD≤2.5</w:t>
            </w:r>
          </w:p>
        </w:tc>
      </w:tr>
      <w:tr>
        <w:tblPrEx>
          <w:shd w:val="clear"/>
          <w:tblCellMar>
            <w:top w:w="0" w:type="dxa"/>
            <w:left w:w="0" w:type="dxa"/>
            <w:bottom w:w="0" w:type="dxa"/>
            <w:right w:w="0" w:type="dxa"/>
          </w:tblCellMar>
        </w:tblPrEx>
        <w:trPr>
          <w:trHeight w:val="91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拉伸</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MD≥1100；TD≥900</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MD≥1100；TD≥900</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MD≥1200；TD≥900</w:t>
            </w:r>
          </w:p>
        </w:tc>
      </w:tr>
      <w:tr>
        <w:tblPrEx>
          <w:shd w:val="clear"/>
          <w:tblCellMar>
            <w:top w:w="0" w:type="dxa"/>
            <w:left w:w="0" w:type="dxa"/>
            <w:bottom w:w="0" w:type="dxa"/>
            <w:right w:w="0" w:type="dxa"/>
          </w:tblCellMar>
        </w:tblPrEx>
        <w:trPr>
          <w:trHeight w:val="643"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针刺（gf）</w:t>
            </w:r>
          </w:p>
        </w:tc>
        <w:tc>
          <w:tcPr>
            <w:tcW w:w="2314"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300</w:t>
            </w:r>
          </w:p>
        </w:tc>
        <w:tc>
          <w:tcPr>
            <w:tcW w:w="2255"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300</w:t>
            </w:r>
          </w:p>
        </w:tc>
        <w:tc>
          <w:tcPr>
            <w:tcW w:w="2270" w:type="dxa"/>
            <w:tcBorders>
              <w:top w:val="nil"/>
              <w:left w:val="nil"/>
              <w:bottom w:val="single" w:color="000000" w:sz="8" w:space="0"/>
              <w:right w:val="single" w:color="000000" w:sz="8" w:space="0"/>
            </w:tcBorders>
            <w:shd w:val="clear"/>
            <w:tcMar>
              <w:top w:w="10" w:type="dxa"/>
              <w:left w:w="10" w:type="dxa"/>
              <w:right w:w="10" w:type="dxa"/>
            </w:tcMar>
            <w:vAlign w:val="top"/>
          </w:tcPr>
          <w:p>
            <w:pPr>
              <w:keepNext w:val="0"/>
              <w:keepLines w:val="0"/>
              <w:widowControl/>
              <w:suppressLineNumbers w:val="0"/>
              <w:jc w:val="center"/>
              <w:textAlignment w:val="top"/>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300</w:t>
            </w:r>
          </w:p>
        </w:tc>
      </w:tr>
      <w:tr>
        <w:tblPrEx>
          <w:shd w:val="clear"/>
          <w:tblCellMar>
            <w:top w:w="0" w:type="dxa"/>
            <w:left w:w="0" w:type="dxa"/>
            <w:bottom w:w="0" w:type="dxa"/>
            <w:right w:w="0" w:type="dxa"/>
          </w:tblCellMar>
        </w:tblPrEx>
        <w:trPr>
          <w:trHeight w:val="428"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卷芯材质</w:t>
            </w:r>
          </w:p>
        </w:tc>
        <w:tc>
          <w:tcPr>
            <w:tcW w:w="6839" w:type="dxa"/>
            <w:gridSpan w:val="3"/>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塑料卷芯</w:t>
            </w:r>
          </w:p>
        </w:tc>
      </w:tr>
      <w:tr>
        <w:tblPrEx>
          <w:shd w:val="clear"/>
          <w:tblCellMar>
            <w:top w:w="0" w:type="dxa"/>
            <w:left w:w="0" w:type="dxa"/>
            <w:bottom w:w="0" w:type="dxa"/>
            <w:right w:w="0" w:type="dxa"/>
          </w:tblCellMar>
        </w:tblPrEx>
        <w:trPr>
          <w:trHeight w:val="449" w:hRule="atLeast"/>
        </w:trPr>
        <w:tc>
          <w:tcPr>
            <w:tcW w:w="1221" w:type="dxa"/>
            <w:tcBorders>
              <w:top w:val="nil"/>
              <w:left w:val="single" w:color="000000" w:sz="8" w:space="0"/>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隔膜宽度</w:t>
            </w:r>
          </w:p>
        </w:tc>
        <w:tc>
          <w:tcPr>
            <w:tcW w:w="6839" w:type="dxa"/>
            <w:gridSpan w:val="3"/>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X+0.3（≤300mm）</w:t>
            </w:r>
          </w:p>
        </w:tc>
      </w:tr>
    </w:tbl>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tbl>
      <w:tblPr>
        <w:tblW w:w="7680" w:type="dxa"/>
        <w:tblInd w:w="0" w:type="dxa"/>
        <w:shd w:val="clear"/>
        <w:tblLayout w:type="autofit"/>
        <w:tblCellMar>
          <w:top w:w="0" w:type="dxa"/>
          <w:left w:w="0" w:type="dxa"/>
          <w:bottom w:w="0" w:type="dxa"/>
          <w:right w:w="0" w:type="dxa"/>
        </w:tblCellMar>
      </w:tblPr>
      <w:tblGrid>
        <w:gridCol w:w="1413"/>
        <w:gridCol w:w="2106"/>
        <w:gridCol w:w="2161"/>
        <w:gridCol w:w="2000"/>
      </w:tblGrid>
      <w:tr>
        <w:tblPrEx>
          <w:shd w:val="clear"/>
          <w:tblCellMar>
            <w:top w:w="0" w:type="dxa"/>
            <w:left w:w="0" w:type="dxa"/>
            <w:bottom w:w="0" w:type="dxa"/>
            <w:right w:w="0" w:type="dxa"/>
          </w:tblCellMar>
        </w:tblPrEx>
        <w:trPr>
          <w:trHeight w:val="414" w:hRule="atLeast"/>
        </w:trPr>
        <w:tc>
          <w:tcPr>
            <w:tcW w:w="7680" w:type="dxa"/>
            <w:gridSpan w:val="4"/>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Theme="minorEastAsia" w:hAnsiTheme="minorEastAsia" w:eastAsiaTheme="minorEastAsia" w:cstheme="minorEastAsia"/>
                <w:b/>
                <w:bCs/>
                <w:i w:val="0"/>
                <w:color w:val="000000"/>
                <w:kern w:val="0"/>
                <w:sz w:val="28"/>
                <w:szCs w:val="28"/>
                <w:u w:val="none"/>
                <w:bdr w:val="none" w:color="auto" w:sz="0" w:space="0"/>
                <w:lang w:val="en-US" w:eastAsia="zh-CN" w:bidi="ar"/>
              </w:rPr>
              <w:t>干法隔膜</w:t>
            </w:r>
          </w:p>
        </w:tc>
      </w:tr>
      <w:tr>
        <w:tblPrEx>
          <w:tblCellMar>
            <w:top w:w="0" w:type="dxa"/>
            <w:left w:w="0" w:type="dxa"/>
            <w:bottom w:w="0" w:type="dxa"/>
            <w:right w:w="0" w:type="dxa"/>
          </w:tblCellMar>
        </w:tblPrEx>
        <w:trPr>
          <w:trHeight w:val="903"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PP（2+16+2）</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PP高孔（2+20+2）</w:t>
            </w:r>
          </w:p>
        </w:tc>
        <w:tc>
          <w:tcPr>
            <w:tcW w:w="2000"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PP高孔陶瓷隔膜所使用的PP基膜</w:t>
            </w:r>
          </w:p>
        </w:tc>
      </w:tr>
      <w:tr>
        <w:tblPrEx>
          <w:tblCellMar>
            <w:top w:w="0" w:type="dxa"/>
            <w:left w:w="0" w:type="dxa"/>
            <w:bottom w:w="0" w:type="dxa"/>
            <w:right w:w="0" w:type="dxa"/>
          </w:tblCellMar>
        </w:tblPrEx>
        <w:trPr>
          <w:trHeight w:val="414"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面密度</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13-18</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14.5-18.5</w:t>
            </w:r>
          </w:p>
        </w:tc>
        <w:tc>
          <w:tcPr>
            <w:tcW w:w="2000" w:type="dxa"/>
            <w:vMerge w:val="restart"/>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参考PP高孔</w:t>
            </w:r>
          </w:p>
        </w:tc>
      </w:tr>
      <w:tr>
        <w:tblPrEx>
          <w:tblCellMar>
            <w:top w:w="0" w:type="dxa"/>
            <w:left w:w="0" w:type="dxa"/>
            <w:bottom w:w="0" w:type="dxa"/>
            <w:right w:w="0" w:type="dxa"/>
          </w:tblCellMar>
        </w:tblPrEx>
        <w:trPr>
          <w:trHeight w:val="414"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孔径</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25-40</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25-45</w:t>
            </w:r>
          </w:p>
        </w:tc>
        <w:tc>
          <w:tcPr>
            <w:tcW w:w="20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14"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孔隙率</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40±3</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48±3</w:t>
            </w:r>
          </w:p>
        </w:tc>
        <w:tc>
          <w:tcPr>
            <w:tcW w:w="20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14"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透气度</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280±70</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270±70</w:t>
            </w:r>
          </w:p>
        </w:tc>
        <w:tc>
          <w:tcPr>
            <w:tcW w:w="20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589"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热缩（130 1h）</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MD≤4；TD≤1</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MD≤2.5；TD≤1</w:t>
            </w:r>
          </w:p>
        </w:tc>
        <w:tc>
          <w:tcPr>
            <w:tcW w:w="20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600"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拉伸</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MD≥900；TD≥90</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MD≥900；TD≥60</w:t>
            </w:r>
          </w:p>
        </w:tc>
        <w:tc>
          <w:tcPr>
            <w:tcW w:w="20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627"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针刺（gf）</w:t>
            </w:r>
          </w:p>
        </w:tc>
        <w:tc>
          <w:tcPr>
            <w:tcW w:w="2106"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200</w:t>
            </w:r>
          </w:p>
        </w:tc>
        <w:tc>
          <w:tcPr>
            <w:tcW w:w="2161"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200</w:t>
            </w:r>
          </w:p>
        </w:tc>
        <w:tc>
          <w:tcPr>
            <w:tcW w:w="2000" w:type="dxa"/>
            <w:vMerge w:val="continue"/>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r>
      <w:tr>
        <w:tblPrEx>
          <w:tblCellMar>
            <w:top w:w="0" w:type="dxa"/>
            <w:left w:w="0" w:type="dxa"/>
            <w:bottom w:w="0" w:type="dxa"/>
            <w:right w:w="0" w:type="dxa"/>
          </w:tblCellMar>
        </w:tblPrEx>
        <w:trPr>
          <w:trHeight w:val="414"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卷芯材质</w:t>
            </w:r>
          </w:p>
        </w:tc>
        <w:tc>
          <w:tcPr>
            <w:tcW w:w="6267"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塑料卷芯</w:t>
            </w:r>
          </w:p>
        </w:tc>
      </w:tr>
      <w:tr>
        <w:tblPrEx>
          <w:tblCellMar>
            <w:top w:w="0" w:type="dxa"/>
            <w:left w:w="0" w:type="dxa"/>
            <w:bottom w:w="0" w:type="dxa"/>
            <w:right w:w="0" w:type="dxa"/>
          </w:tblCellMar>
        </w:tblPrEx>
        <w:trPr>
          <w:trHeight w:val="424" w:hRule="atLeast"/>
        </w:trPr>
        <w:tc>
          <w:tcPr>
            <w:tcW w:w="1413" w:type="dxa"/>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隔膜宽度</w:t>
            </w:r>
          </w:p>
        </w:tc>
        <w:tc>
          <w:tcPr>
            <w:tcW w:w="6267" w:type="dxa"/>
            <w:gridSpan w:val="3"/>
            <w:tcBorders>
              <w:top w:val="single" w:color="000000" w:sz="4" w:space="0"/>
              <w:left w:val="single" w:color="000000" w:sz="4" w:space="0"/>
              <w:bottom w:val="single" w:color="000000" w:sz="4" w:space="0"/>
              <w:right w:val="single" w:color="000000" w:sz="4"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X+0.3（≤300mm）</w:t>
            </w:r>
          </w:p>
        </w:tc>
      </w:tr>
    </w:tbl>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tbl>
      <w:tblPr>
        <w:tblStyle w:val="23"/>
        <w:tblW w:w="7930" w:type="dxa"/>
        <w:tblInd w:w="93" w:type="dxa"/>
        <w:tblLayout w:type="fixed"/>
        <w:tblCellMar>
          <w:top w:w="0" w:type="dxa"/>
          <w:left w:w="108" w:type="dxa"/>
          <w:bottom w:w="0" w:type="dxa"/>
          <w:right w:w="108" w:type="dxa"/>
        </w:tblCellMar>
      </w:tblPr>
      <w:tblGrid>
        <w:gridCol w:w="3002"/>
        <w:gridCol w:w="4928"/>
      </w:tblGrid>
      <w:tr>
        <w:tblPrEx>
          <w:tblCellMar>
            <w:top w:w="0" w:type="dxa"/>
            <w:left w:w="108" w:type="dxa"/>
            <w:bottom w:w="0" w:type="dxa"/>
            <w:right w:w="108" w:type="dxa"/>
          </w:tblCellMar>
        </w:tblPrEx>
        <w:trPr>
          <w:trHeight w:val="285" w:hRule="atLeast"/>
        </w:trPr>
        <w:tc>
          <w:tcPr>
            <w:tcW w:w="793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油系涂胶隔膜（混涂或分层涂覆）</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基膜类型</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PE（12、9）</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涂胶类型</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hint="eastAsia" w:ascii="宋体" w:hAnsi="宋体"/>
                <w:color w:val="000000"/>
                <w:kern w:val="0"/>
                <w:sz w:val="20"/>
                <w:szCs w:val="20"/>
              </w:rPr>
              <w:t>油系</w:t>
            </w:r>
            <w:r>
              <w:rPr>
                <w:rFonts w:eastAsia="等线"/>
                <w:color w:val="000000"/>
                <w:kern w:val="0"/>
                <w:sz w:val="20"/>
                <w:szCs w:val="20"/>
              </w:rPr>
              <w:t>PVDF</w:t>
            </w:r>
            <w:r>
              <w:rPr>
                <w:rFonts w:hint="eastAsia" w:ascii="宋体" w:hAnsi="宋体"/>
                <w:color w:val="000000"/>
                <w:kern w:val="0"/>
                <w:sz w:val="20"/>
                <w:szCs w:val="20"/>
              </w:rPr>
              <w:t>双面涂覆</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陶瓷层涂覆方式</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olor w:val="000000"/>
                <w:kern w:val="0"/>
                <w:sz w:val="20"/>
                <w:szCs w:val="20"/>
              </w:rPr>
            </w:pPr>
            <w:r>
              <w:rPr>
                <w:rFonts w:hint="eastAsia" w:ascii="宋体" w:hAnsi="宋体"/>
                <w:color w:val="000000"/>
                <w:kern w:val="0"/>
                <w:sz w:val="20"/>
                <w:szCs w:val="20"/>
              </w:rPr>
              <w:t>双面涂覆氧化铝与油系PVDF混涂或分层涂覆（2+12+2、3+9+3 ）</w:t>
            </w:r>
          </w:p>
          <w:p>
            <w:pPr>
              <w:widowControl/>
              <w:jc w:val="center"/>
              <w:rPr>
                <w:rFonts w:eastAsia="等线"/>
                <w:color w:val="000000"/>
                <w:kern w:val="0"/>
                <w:sz w:val="20"/>
                <w:szCs w:val="20"/>
              </w:rPr>
            </w:pPr>
            <w:r>
              <w:rPr>
                <w:rFonts w:hint="eastAsia" w:ascii="宋体" w:hAnsi="宋体"/>
                <w:color w:val="000000"/>
                <w:kern w:val="0"/>
                <w:sz w:val="20"/>
                <w:szCs w:val="20"/>
              </w:rPr>
              <w:t>供应商注明</w:t>
            </w:r>
          </w:p>
        </w:tc>
      </w:tr>
      <w:tr>
        <w:tblPrEx>
          <w:tblCellMar>
            <w:top w:w="0" w:type="dxa"/>
            <w:left w:w="108" w:type="dxa"/>
            <w:bottom w:w="0" w:type="dxa"/>
            <w:right w:w="108" w:type="dxa"/>
          </w:tblCellMar>
        </w:tblPrEx>
        <w:trPr>
          <w:trHeight w:val="49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涂层厚度</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　</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隔膜总厚度/μm</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15~18</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隔膜宽度/mm</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hint="eastAsia" w:eastAsia="等线"/>
                <w:color w:val="000000"/>
                <w:kern w:val="0"/>
                <w:sz w:val="20"/>
                <w:szCs w:val="20"/>
              </w:rPr>
              <w:t>500-600及≤300两种规格</w:t>
            </w:r>
            <w:r>
              <w:rPr>
                <w:rFonts w:eastAsia="等线"/>
                <w:color w:val="000000"/>
                <w:kern w:val="0"/>
                <w:sz w:val="20"/>
                <w:szCs w:val="20"/>
              </w:rPr>
              <w:t>　</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基膜厚度/μm</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12</w:t>
            </w:r>
            <w:r>
              <w:rPr>
                <w:rFonts w:hint="eastAsia" w:eastAsia="等线"/>
                <w:color w:val="000000"/>
                <w:kern w:val="0"/>
                <w:sz w:val="20"/>
                <w:szCs w:val="20"/>
              </w:rPr>
              <w:t>、9</w:t>
            </w:r>
          </w:p>
        </w:tc>
      </w:tr>
      <w:tr>
        <w:tblPrEx>
          <w:tblCellMar>
            <w:top w:w="0" w:type="dxa"/>
            <w:left w:w="108" w:type="dxa"/>
            <w:bottom w:w="0" w:type="dxa"/>
            <w:right w:w="108" w:type="dxa"/>
          </w:tblCellMar>
        </w:tblPrEx>
        <w:trPr>
          <w:trHeight w:val="330"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基膜孔径μm</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35-50</w:t>
            </w:r>
            <w:r>
              <w:rPr>
                <w:rFonts w:hint="eastAsia" w:ascii="微软雅黑" w:hAnsi="微软雅黑" w:eastAsia="微软雅黑"/>
                <w:color w:val="000000"/>
                <w:kern w:val="0"/>
                <w:sz w:val="20"/>
                <w:szCs w:val="20"/>
              </w:rPr>
              <w:t>（平均孔径）</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基膜孔隙率%</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40-50</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透气度S/100ml</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200-400</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热缩（90℃ 2h）%</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4</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2</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热缩（110℃ 1h）%</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6</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4</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热缩（130℃ 0.5h）%</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hint="eastAsia" w:eastAsia="等线"/>
                <w:color w:val="000000"/>
                <w:kern w:val="0"/>
                <w:sz w:val="20"/>
                <w:szCs w:val="20"/>
              </w:rPr>
              <w:t>20</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hint="eastAsia" w:eastAsia="等线"/>
                <w:color w:val="000000"/>
                <w:kern w:val="0"/>
                <w:sz w:val="20"/>
                <w:szCs w:val="20"/>
              </w:rPr>
              <w:t>20</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拉伸（Kgf/cm2）</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1400</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1200</w:t>
            </w:r>
          </w:p>
        </w:tc>
      </w:tr>
      <w:tr>
        <w:tblPrEx>
          <w:tblCellMar>
            <w:top w:w="0" w:type="dxa"/>
            <w:left w:w="108" w:type="dxa"/>
            <w:bottom w:w="0" w:type="dxa"/>
            <w:right w:w="108" w:type="dxa"/>
          </w:tblCellMar>
        </w:tblPrEx>
        <w:trPr>
          <w:trHeight w:val="330"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针刺（Kgf）</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r>
              <w:rPr>
                <w:rFonts w:eastAsia="微软雅黑"/>
                <w:color w:val="000000"/>
                <w:kern w:val="0"/>
                <w:sz w:val="20"/>
                <w:szCs w:val="20"/>
              </w:rPr>
              <w:t>0.4</w:t>
            </w:r>
            <w:r>
              <w:rPr>
                <w:rFonts w:hint="eastAsia" w:ascii="微软雅黑" w:hAnsi="微软雅黑" w:eastAsia="微软雅黑" w:cs="宋体"/>
                <w:color w:val="000000"/>
                <w:kern w:val="0"/>
                <w:sz w:val="20"/>
                <w:szCs w:val="20"/>
              </w:rPr>
              <w:t>（常温）</w:t>
            </w:r>
          </w:p>
        </w:tc>
      </w:tr>
      <w:tr>
        <w:tblPrEx>
          <w:tblCellMar>
            <w:top w:w="0" w:type="dxa"/>
            <w:left w:w="108" w:type="dxa"/>
            <w:bottom w:w="0" w:type="dxa"/>
            <w:right w:w="108" w:type="dxa"/>
          </w:tblCellMar>
        </w:tblPrEx>
        <w:trPr>
          <w:trHeight w:val="330"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粘结力（N/m，双层隔膜热压)</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&gt;10</w:t>
            </w:r>
          </w:p>
        </w:tc>
      </w:tr>
      <w:tr>
        <w:tblPrEx>
          <w:tblCellMar>
            <w:top w:w="0" w:type="dxa"/>
            <w:left w:w="108" w:type="dxa"/>
            <w:bottom w:w="0" w:type="dxa"/>
            <w:right w:w="108" w:type="dxa"/>
          </w:tblCellMar>
        </w:tblPrEx>
        <w:trPr>
          <w:trHeight w:val="330"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剥离强度（N/m)</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&gt;10</w:t>
            </w:r>
          </w:p>
        </w:tc>
      </w:tr>
      <w:tr>
        <w:tblPrEx>
          <w:tblCellMar>
            <w:top w:w="0" w:type="dxa"/>
            <w:left w:w="108" w:type="dxa"/>
            <w:bottom w:w="0" w:type="dxa"/>
            <w:right w:w="108" w:type="dxa"/>
          </w:tblCellMar>
        </w:tblPrEx>
        <w:trPr>
          <w:trHeight w:val="330" w:hRule="atLeast"/>
        </w:trPr>
        <w:tc>
          <w:tcPr>
            <w:tcW w:w="3002"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highlight w:val="yellow"/>
              </w:rPr>
            </w:pPr>
            <w:r>
              <w:rPr>
                <w:rFonts w:hint="eastAsia" w:ascii="等线" w:hAnsi="等线" w:eastAsia="等线" w:cs="宋体"/>
                <w:color w:val="000000"/>
                <w:kern w:val="0"/>
                <w:sz w:val="22"/>
                <w:szCs w:val="22"/>
              </w:rPr>
              <w:t>全电池电池针刺/热箱安全性</w:t>
            </w:r>
          </w:p>
        </w:tc>
        <w:tc>
          <w:tcPr>
            <w:tcW w:w="4928"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宋体"/>
                <w:color w:val="000000"/>
                <w:kern w:val="0"/>
                <w:sz w:val="20"/>
                <w:szCs w:val="20"/>
                <w:highlight w:val="yellow"/>
              </w:rPr>
            </w:pPr>
            <w:r>
              <w:rPr>
                <w:rFonts w:hint="eastAsia" w:ascii="微软雅黑" w:hAnsi="微软雅黑" w:eastAsia="微软雅黑" w:cs="宋体"/>
                <w:color w:val="000000"/>
                <w:kern w:val="0"/>
                <w:sz w:val="20"/>
                <w:szCs w:val="20"/>
              </w:rPr>
              <w:t>供应商提供</w:t>
            </w:r>
          </w:p>
        </w:tc>
      </w:tr>
      <w:tr>
        <w:tblPrEx>
          <w:tblCellMar>
            <w:top w:w="0" w:type="dxa"/>
            <w:left w:w="108" w:type="dxa"/>
            <w:bottom w:w="0" w:type="dxa"/>
            <w:right w:w="108" w:type="dxa"/>
          </w:tblCellMar>
        </w:tblPrEx>
        <w:trPr>
          <w:trHeight w:val="285" w:hRule="atLeast"/>
        </w:trPr>
        <w:tc>
          <w:tcPr>
            <w:tcW w:w="30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SEM形貌</w:t>
            </w:r>
          </w:p>
        </w:tc>
        <w:tc>
          <w:tcPr>
            <w:tcW w:w="4928"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多孔均匀分布，不可见基膜</w:t>
            </w:r>
          </w:p>
        </w:tc>
      </w:tr>
    </w:tbl>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center"/>
        <w:outlineLvl w:val="0"/>
        <w:rPr>
          <w:rStyle w:val="35"/>
          <w:b w:val="0"/>
          <w:sz w:val="28"/>
          <w:szCs w:val="28"/>
        </w:rPr>
      </w:pPr>
    </w:p>
    <w:p>
      <w:pPr>
        <w:overflowPunct w:val="0"/>
        <w:spacing w:line="360" w:lineRule="auto"/>
        <w:jc w:val="both"/>
        <w:outlineLvl w:val="0"/>
        <w:rPr>
          <w:rStyle w:val="35"/>
          <w:b w:val="0"/>
          <w:sz w:val="28"/>
          <w:szCs w:val="28"/>
        </w:rPr>
      </w:pPr>
    </w:p>
    <w:tbl>
      <w:tblPr>
        <w:tblStyle w:val="23"/>
        <w:tblW w:w="7760" w:type="dxa"/>
        <w:jc w:val="center"/>
        <w:tblLayout w:type="autofit"/>
        <w:tblCellMar>
          <w:top w:w="0" w:type="dxa"/>
          <w:left w:w="108" w:type="dxa"/>
          <w:bottom w:w="0" w:type="dxa"/>
          <w:right w:w="108" w:type="dxa"/>
        </w:tblCellMar>
      </w:tblPr>
      <w:tblGrid>
        <w:gridCol w:w="3380"/>
        <w:gridCol w:w="4380"/>
      </w:tblGrid>
      <w:tr>
        <w:tblPrEx>
          <w:tblCellMar>
            <w:top w:w="0" w:type="dxa"/>
            <w:left w:w="108" w:type="dxa"/>
            <w:bottom w:w="0" w:type="dxa"/>
            <w:right w:w="108" w:type="dxa"/>
          </w:tblCellMar>
        </w:tblPrEx>
        <w:trPr>
          <w:trHeight w:val="285" w:hRule="atLeast"/>
          <w:jc w:val="center"/>
        </w:trPr>
        <w:tc>
          <w:tcPr>
            <w:tcW w:w="776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水系涂胶隔膜</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基膜类型</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PE+陶瓷（9+3）</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涂胶类型及方式</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水性PVDF喷涂</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陶瓷层涂覆方式</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双面涂覆</w:t>
            </w:r>
          </w:p>
        </w:tc>
      </w:tr>
      <w:tr>
        <w:tblPrEx>
          <w:tblCellMar>
            <w:top w:w="0" w:type="dxa"/>
            <w:left w:w="108" w:type="dxa"/>
            <w:bottom w:w="0" w:type="dxa"/>
            <w:right w:w="108" w:type="dxa"/>
          </w:tblCellMar>
        </w:tblPrEx>
        <w:trPr>
          <w:trHeight w:val="49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涂层厚度</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涂覆厚度，请注明（双面面密度约0.5）</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隔膜总厚度/μm</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15~18</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隔膜宽度/mm</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hint="eastAsia" w:eastAsia="等线"/>
                <w:color w:val="000000"/>
                <w:kern w:val="0"/>
                <w:sz w:val="20"/>
                <w:szCs w:val="20"/>
              </w:rPr>
              <w:t>500-600及≤300两种规格</w:t>
            </w:r>
            <w:r>
              <w:rPr>
                <w:rFonts w:eastAsia="等线"/>
                <w:color w:val="000000"/>
                <w:kern w:val="0"/>
                <w:sz w:val="20"/>
                <w:szCs w:val="20"/>
              </w:rPr>
              <w:t>　</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基膜厚度/μm</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9</w:t>
            </w:r>
          </w:p>
        </w:tc>
      </w:tr>
      <w:tr>
        <w:tblPrEx>
          <w:tblCellMar>
            <w:top w:w="0" w:type="dxa"/>
            <w:left w:w="108" w:type="dxa"/>
            <w:bottom w:w="0" w:type="dxa"/>
            <w:right w:w="108" w:type="dxa"/>
          </w:tblCellMar>
        </w:tblPrEx>
        <w:trPr>
          <w:trHeight w:val="330"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基膜孔径μm</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35-50</w:t>
            </w:r>
            <w:r>
              <w:rPr>
                <w:rFonts w:hint="eastAsia" w:ascii="微软雅黑" w:hAnsi="微软雅黑" w:eastAsia="微软雅黑"/>
                <w:color w:val="000000"/>
                <w:kern w:val="0"/>
                <w:sz w:val="20"/>
                <w:szCs w:val="20"/>
              </w:rPr>
              <w:t>（平均孔径）</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基膜平均孔隙率%</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40-45</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透气度S/100ml</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200-300</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热缩（90℃ 2h）%</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1</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1</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热缩（110℃ 1h）%</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2</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1</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热缩（130℃ 0.5h）%</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3</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2</w:t>
            </w:r>
          </w:p>
        </w:tc>
      </w:tr>
      <w:tr>
        <w:tblPrEx>
          <w:tblCellMar>
            <w:top w:w="0" w:type="dxa"/>
            <w:left w:w="108" w:type="dxa"/>
            <w:bottom w:w="0" w:type="dxa"/>
            <w:right w:w="108" w:type="dxa"/>
          </w:tblCellMar>
        </w:tblPrEx>
        <w:trPr>
          <w:trHeight w:val="285"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拉伸（Kgf/cm2）</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eastAsia="等线"/>
                <w:color w:val="000000"/>
                <w:kern w:val="0"/>
                <w:sz w:val="20"/>
                <w:szCs w:val="20"/>
              </w:rPr>
            </w:pPr>
            <w:r>
              <w:rPr>
                <w:rFonts w:eastAsia="等线"/>
                <w:color w:val="000000"/>
                <w:kern w:val="0"/>
                <w:sz w:val="20"/>
                <w:szCs w:val="20"/>
              </w:rPr>
              <w:t>MD</w:t>
            </w:r>
            <w:r>
              <w:rPr>
                <w:rFonts w:hint="eastAsia" w:ascii="等线" w:hAnsi="等线" w:eastAsia="等线"/>
                <w:color w:val="000000"/>
                <w:kern w:val="0"/>
                <w:sz w:val="20"/>
                <w:szCs w:val="20"/>
              </w:rPr>
              <w:t>≥</w:t>
            </w:r>
            <w:r>
              <w:rPr>
                <w:rFonts w:eastAsia="等线"/>
                <w:color w:val="000000"/>
                <w:kern w:val="0"/>
                <w:sz w:val="20"/>
                <w:szCs w:val="20"/>
              </w:rPr>
              <w:t>1400</w:t>
            </w:r>
            <w:r>
              <w:rPr>
                <w:rFonts w:hint="eastAsia" w:ascii="等线" w:hAnsi="等线" w:eastAsia="等线"/>
                <w:color w:val="000000"/>
                <w:kern w:val="0"/>
                <w:sz w:val="20"/>
                <w:szCs w:val="20"/>
              </w:rPr>
              <w:t>；</w:t>
            </w:r>
            <w:r>
              <w:rPr>
                <w:rFonts w:eastAsia="等线"/>
                <w:color w:val="000000"/>
                <w:kern w:val="0"/>
                <w:sz w:val="20"/>
                <w:szCs w:val="20"/>
              </w:rPr>
              <w:t>TD</w:t>
            </w:r>
            <w:r>
              <w:rPr>
                <w:rFonts w:hint="eastAsia" w:ascii="等线" w:hAnsi="等线" w:eastAsia="等线"/>
                <w:color w:val="000000"/>
                <w:kern w:val="0"/>
                <w:sz w:val="20"/>
                <w:szCs w:val="20"/>
              </w:rPr>
              <w:t>≥</w:t>
            </w:r>
            <w:r>
              <w:rPr>
                <w:rFonts w:eastAsia="等线"/>
                <w:color w:val="000000"/>
                <w:kern w:val="0"/>
                <w:sz w:val="20"/>
                <w:szCs w:val="20"/>
              </w:rPr>
              <w:t>1200</w:t>
            </w:r>
          </w:p>
        </w:tc>
      </w:tr>
      <w:tr>
        <w:tblPrEx>
          <w:tblCellMar>
            <w:top w:w="0" w:type="dxa"/>
            <w:left w:w="108" w:type="dxa"/>
            <w:bottom w:w="0" w:type="dxa"/>
            <w:right w:w="108" w:type="dxa"/>
          </w:tblCellMar>
        </w:tblPrEx>
        <w:trPr>
          <w:trHeight w:val="330"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针刺（Kgf）</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w:t>
            </w:r>
            <w:r>
              <w:rPr>
                <w:rFonts w:eastAsia="微软雅黑"/>
                <w:color w:val="000000"/>
                <w:kern w:val="0"/>
                <w:sz w:val="20"/>
                <w:szCs w:val="20"/>
              </w:rPr>
              <w:t>0.4</w:t>
            </w:r>
            <w:r>
              <w:rPr>
                <w:rFonts w:hint="eastAsia" w:ascii="微软雅黑" w:hAnsi="微软雅黑" w:eastAsia="微软雅黑" w:cs="宋体"/>
                <w:color w:val="000000"/>
                <w:kern w:val="0"/>
                <w:sz w:val="20"/>
                <w:szCs w:val="20"/>
              </w:rPr>
              <w:t>（常温）</w:t>
            </w:r>
          </w:p>
        </w:tc>
      </w:tr>
      <w:tr>
        <w:tblPrEx>
          <w:tblCellMar>
            <w:top w:w="0" w:type="dxa"/>
            <w:left w:w="108" w:type="dxa"/>
            <w:bottom w:w="0" w:type="dxa"/>
            <w:right w:w="108" w:type="dxa"/>
          </w:tblCellMar>
        </w:tblPrEx>
        <w:trPr>
          <w:trHeight w:val="330"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highlight w:val="yellow"/>
              </w:rPr>
            </w:pPr>
            <w:r>
              <w:rPr>
                <w:rFonts w:hint="eastAsia" w:ascii="等线" w:hAnsi="等线" w:eastAsia="等线" w:cs="宋体"/>
                <w:color w:val="000000"/>
                <w:kern w:val="0"/>
                <w:sz w:val="22"/>
                <w:szCs w:val="22"/>
              </w:rPr>
              <w:t>全电池电池针刺/热箱安全性</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000000"/>
                <w:kern w:val="0"/>
                <w:sz w:val="20"/>
                <w:szCs w:val="20"/>
                <w:highlight w:val="yellow"/>
              </w:rPr>
            </w:pPr>
            <w:r>
              <w:rPr>
                <w:rFonts w:hint="eastAsia" w:ascii="微软雅黑" w:hAnsi="微软雅黑" w:eastAsia="微软雅黑" w:cs="宋体"/>
                <w:color w:val="000000"/>
                <w:kern w:val="0"/>
                <w:sz w:val="20"/>
                <w:szCs w:val="20"/>
              </w:rPr>
              <w:t>供应商提供</w:t>
            </w:r>
          </w:p>
        </w:tc>
      </w:tr>
      <w:tr>
        <w:tblPrEx>
          <w:tblCellMar>
            <w:top w:w="0" w:type="dxa"/>
            <w:left w:w="108" w:type="dxa"/>
            <w:bottom w:w="0" w:type="dxa"/>
            <w:right w:w="108" w:type="dxa"/>
          </w:tblCellMar>
        </w:tblPrEx>
        <w:trPr>
          <w:trHeight w:val="330"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粘结力（N/m，双层隔膜热压)</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&gt;5</w:t>
            </w:r>
          </w:p>
        </w:tc>
      </w:tr>
      <w:tr>
        <w:tblPrEx>
          <w:tblCellMar>
            <w:top w:w="0" w:type="dxa"/>
            <w:left w:w="108" w:type="dxa"/>
            <w:bottom w:w="0" w:type="dxa"/>
            <w:right w:w="108" w:type="dxa"/>
          </w:tblCellMar>
        </w:tblPrEx>
        <w:trPr>
          <w:trHeight w:val="330" w:hRule="atLeast"/>
          <w:jc w:val="center"/>
        </w:trPr>
        <w:tc>
          <w:tcPr>
            <w:tcW w:w="338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剥离强度（N/m)</w:t>
            </w:r>
          </w:p>
        </w:tc>
        <w:tc>
          <w:tcPr>
            <w:tcW w:w="4380" w:type="dxa"/>
            <w:tcBorders>
              <w:top w:val="nil"/>
              <w:left w:val="nil"/>
              <w:bottom w:val="single" w:color="auto" w:sz="4" w:space="0"/>
              <w:right w:val="single" w:color="auto" w:sz="4" w:space="0"/>
            </w:tcBorders>
            <w:shd w:val="clear" w:color="auto" w:fill="auto"/>
            <w:vAlign w:val="bottom"/>
          </w:tcPr>
          <w:p>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&gt;5</w:t>
            </w:r>
          </w:p>
        </w:tc>
      </w:tr>
    </w:tbl>
    <w:p>
      <w:pPr>
        <w:overflowPunct w:val="0"/>
        <w:spacing w:line="360" w:lineRule="auto"/>
        <w:jc w:val="center"/>
        <w:outlineLvl w:val="0"/>
        <w:rPr>
          <w:rStyle w:val="35"/>
          <w:b w:val="0"/>
          <w:sz w:val="28"/>
          <w:szCs w:val="28"/>
        </w:rPr>
        <w:sectPr>
          <w:pgSz w:w="11906" w:h="16838"/>
          <w:pgMar w:top="1440" w:right="1800" w:bottom="1440" w:left="1800" w:header="567" w:footer="567" w:gutter="0"/>
          <w:pgNumType w:fmt="numberInDash"/>
          <w:cols w:space="720" w:num="1"/>
          <w:docGrid w:type="lines" w:linePitch="383" w:charSpace="0"/>
        </w:sectPr>
      </w:pPr>
    </w:p>
    <w:p>
      <w:pPr>
        <w:overflowPunct w:val="0"/>
        <w:spacing w:line="360" w:lineRule="auto"/>
        <w:jc w:val="center"/>
        <w:outlineLvl w:val="0"/>
        <w:rPr>
          <w:rStyle w:val="35"/>
          <w:sz w:val="28"/>
          <w:szCs w:val="28"/>
        </w:rPr>
      </w:pPr>
      <w:r>
        <w:rPr>
          <w:rFonts w:ascii="Times New Roman" w:hAnsi="Times New Roman" w:eastAsia="宋体" w:cs="Times New Roman"/>
          <w:b/>
          <w:kern w:val="44"/>
          <w:sz w:val="28"/>
          <w:szCs w:val="28"/>
          <w:lang w:val="en-US" w:eastAsia="zh-CN" w:bidi="ar-SA"/>
        </w:rPr>
        <w:pict>
          <v:shape id="_x0000_i1025" o:spt="75" type="#_x0000_t75" style="height:446.25pt;width:507.75pt;" fillcolor="#FFFFFF" filled="f" o:preferrelative="t" stroked="f" coordsize="21600,21600">
            <v:path/>
            <v:fill on="f" color2="#FFFFFF" focussize="0,0"/>
            <v:stroke on="f"/>
            <v:imagedata r:id="rId8" gain="65536f" blacklevel="0f" gamma="0" o:title="1bc70279452179ababa6059a1ba11cc"/>
            <o:lock v:ext="edit" position="f" selection="f" grouping="f" rotation="f" cropping="f" text="f" aspectratio="t"/>
            <w10:wrap type="none"/>
            <w10:anchorlock/>
          </v:shape>
        </w:pict>
      </w: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r>
        <w:rPr>
          <w:rFonts w:ascii="Times New Roman" w:hAnsi="Times New Roman" w:eastAsia="宋体" w:cs="Times New Roman"/>
          <w:b/>
          <w:kern w:val="44"/>
          <w:sz w:val="28"/>
          <w:szCs w:val="28"/>
          <w:lang w:val="en-US" w:eastAsia="zh-CN" w:bidi="ar-SA"/>
        </w:rPr>
        <w:pict>
          <v:shape id="_x0000_i1027" o:spt="75" type="#_x0000_t75" style="height:438pt;width:487.5pt;" fillcolor="#FFFFFF" filled="f" o:preferrelative="t" stroked="f" coordsize="21600,21600">
            <v:path/>
            <v:fill on="f" color2="#FFFFFF" focussize="0,0"/>
            <v:stroke on="f"/>
            <v:imagedata r:id="rId8" gain="65536f" blacklevel="0f" gamma="0" o:title="1bc70279452179ababa6059a1ba11cc"/>
            <o:lock v:ext="edit" position="f" selection="f" grouping="f" rotation="f" cropping="f" text="f" aspectratio="t"/>
            <w10:wrap type="none"/>
            <w10:anchorlock/>
          </v:shape>
        </w:pict>
      </w:r>
    </w:p>
    <w:p>
      <w:pPr>
        <w:overflowPunct w:val="0"/>
        <w:spacing w:line="360" w:lineRule="auto"/>
        <w:jc w:val="center"/>
        <w:outlineLvl w:val="0"/>
        <w:rPr>
          <w:rStyle w:val="35"/>
          <w:sz w:val="28"/>
          <w:szCs w:val="28"/>
        </w:rPr>
      </w:pPr>
    </w:p>
    <w:p>
      <w:pPr>
        <w:overflowPunct w:val="0"/>
        <w:spacing w:line="360" w:lineRule="auto"/>
        <w:jc w:val="center"/>
        <w:outlineLvl w:val="0"/>
        <w:rPr>
          <w:rStyle w:val="35"/>
          <w:sz w:val="28"/>
          <w:szCs w:val="28"/>
        </w:rPr>
      </w:pPr>
    </w:p>
    <w:p>
      <w:pPr>
        <w:overflowPunct w:val="0"/>
        <w:spacing w:line="360" w:lineRule="auto"/>
        <w:outlineLvl w:val="0"/>
        <w:rPr>
          <w:rStyle w:val="35"/>
          <w:sz w:val="28"/>
          <w:szCs w:val="28"/>
        </w:rPr>
      </w:pPr>
      <w:r>
        <w:rPr>
          <w:rStyle w:val="35"/>
          <w:sz w:val="28"/>
          <w:szCs w:val="28"/>
        </w:rPr>
        <w:br w:type="page"/>
      </w:r>
    </w:p>
    <w:bookmarkEnd w:id="13"/>
    <w:bookmarkEnd w:id="14"/>
    <w:bookmarkEnd w:id="15"/>
    <w:bookmarkEnd w:id="16"/>
    <w:bookmarkEnd w:id="17"/>
    <w:bookmarkEnd w:id="67"/>
    <w:bookmarkEnd w:id="68"/>
    <w:bookmarkEnd w:id="69"/>
    <w:p>
      <w:pPr>
        <w:overflowPunct w:val="0"/>
        <w:spacing w:line="360" w:lineRule="auto"/>
        <w:jc w:val="center"/>
        <w:outlineLvl w:val="0"/>
        <w:rPr>
          <w:rStyle w:val="35"/>
          <w:sz w:val="28"/>
          <w:szCs w:val="28"/>
        </w:rPr>
      </w:pPr>
      <w:r>
        <w:rPr>
          <w:rStyle w:val="35"/>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tbl>
      <w:tblPr>
        <w:tblStyle w:val="23"/>
        <w:tblpPr w:leftFromText="180" w:rightFromText="180" w:vertAnchor="text" w:horzAnchor="margin" w:tblpXSpec="center" w:tblpY="666"/>
        <w:tblOverlap w:val="never"/>
        <w:tblW w:w="1009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83"/>
        <w:gridCol w:w="1322"/>
        <w:gridCol w:w="1539"/>
        <w:gridCol w:w="231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150" w:type="dxa"/>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083" w:type="dxa"/>
          </w:tcPr>
          <w:p>
            <w:pPr>
              <w:widowControl/>
              <w:spacing w:line="400" w:lineRule="exact"/>
              <w:jc w:val="center"/>
              <w:rPr>
                <w:rFonts w:ascii="宋体" w:hAnsi="宋体" w:cs="宋体"/>
                <w:kern w:val="0"/>
                <w:szCs w:val="21"/>
              </w:rPr>
            </w:pPr>
            <w:r>
              <w:rPr>
                <w:rFonts w:hint="eastAsia" w:ascii="宋体" w:hAnsi="宋体" w:cs="宋体"/>
                <w:kern w:val="0"/>
                <w:szCs w:val="21"/>
              </w:rPr>
              <w:t>名称</w:t>
            </w:r>
          </w:p>
        </w:tc>
        <w:tc>
          <w:tcPr>
            <w:tcW w:w="1322" w:type="dxa"/>
          </w:tcPr>
          <w:p>
            <w:pPr>
              <w:widowControl/>
              <w:spacing w:line="400" w:lineRule="exact"/>
              <w:jc w:val="center"/>
              <w:rPr>
                <w:rFonts w:ascii="宋体" w:hAnsi="宋体" w:cs="宋体"/>
                <w:kern w:val="0"/>
                <w:szCs w:val="21"/>
              </w:rPr>
            </w:pPr>
            <w:r>
              <w:rPr>
                <w:rFonts w:hint="eastAsia" w:ascii="宋体" w:hAnsi="宋体" w:cs="宋体"/>
                <w:kern w:val="0"/>
                <w:szCs w:val="21"/>
              </w:rPr>
              <w:t>规格</w:t>
            </w:r>
          </w:p>
        </w:tc>
        <w:tc>
          <w:tcPr>
            <w:tcW w:w="1539" w:type="dxa"/>
          </w:tcPr>
          <w:p>
            <w:pPr>
              <w:widowControl/>
              <w:spacing w:line="400" w:lineRule="exact"/>
              <w:jc w:val="center"/>
              <w:rPr>
                <w:rFonts w:ascii="宋体" w:hAnsi="宋体" w:cs="宋体"/>
                <w:kern w:val="0"/>
                <w:szCs w:val="21"/>
              </w:rPr>
            </w:pPr>
            <w:r>
              <w:rPr>
                <w:rFonts w:hint="eastAsia" w:ascii="宋体" w:hAnsi="宋体" w:cs="宋体"/>
                <w:kern w:val="0"/>
                <w:szCs w:val="21"/>
              </w:rPr>
              <w:t>价格（含13%税）/元</w:t>
            </w:r>
          </w:p>
        </w:tc>
        <w:tc>
          <w:tcPr>
            <w:tcW w:w="2316" w:type="dxa"/>
          </w:tcPr>
          <w:p>
            <w:pPr>
              <w:widowControl/>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电汇贴息比例</w:t>
            </w:r>
          </w:p>
        </w:tc>
        <w:tc>
          <w:tcPr>
            <w:tcW w:w="2686" w:type="dxa"/>
          </w:tcPr>
          <w:p>
            <w:pPr>
              <w:spacing w:line="400" w:lineRule="exact"/>
              <w:jc w:val="center"/>
              <w:rPr>
                <w:rFonts w:ascii="宋体" w:hAnsi="宋体" w:cs="宋体"/>
                <w:kern w:val="0"/>
                <w:szCs w:val="21"/>
              </w:rPr>
            </w:pPr>
            <w:r>
              <w:rPr>
                <w:rFonts w:hint="eastAsia" w:ascii="宋体" w:hAnsi="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50" w:type="dxa"/>
          </w:tcPr>
          <w:p>
            <w:pPr>
              <w:spacing w:line="400" w:lineRule="exact"/>
              <w:jc w:val="center"/>
              <w:rPr>
                <w:rFonts w:ascii="宋体" w:hAnsi="宋体" w:cs="宋体"/>
                <w:szCs w:val="21"/>
              </w:rPr>
            </w:pPr>
            <w:r>
              <w:rPr>
                <w:rFonts w:hint="eastAsia" w:ascii="宋体" w:hAnsi="宋体" w:cs="宋体"/>
                <w:szCs w:val="21"/>
              </w:rPr>
              <w:t>1</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restar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不低于2%</w:t>
            </w:r>
          </w:p>
        </w:tc>
        <w:tc>
          <w:tcPr>
            <w:tcW w:w="2686"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ascii="宋体" w:hAnsi="宋体" w:cs="宋体"/>
                <w:szCs w:val="21"/>
              </w:rPr>
            </w:pPr>
            <w:r>
              <w:rPr>
                <w:rFonts w:hint="eastAsia" w:ascii="宋体" w:hAnsi="宋体" w:cs="宋体"/>
                <w:szCs w:val="21"/>
              </w:rPr>
              <w:t>2</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p>
        </w:tc>
      </w:tr>
    </w:tbl>
    <w:p>
      <w:pPr>
        <w:adjustRightInd w:val="0"/>
        <w:snapToGrid w:val="0"/>
        <w:spacing w:line="400" w:lineRule="exact"/>
        <w:ind w:left="441" w:leftChars="210"/>
        <w:rPr>
          <w:rFonts w:ascii="宋体" w:hAnsi="宋体"/>
          <w:bCs/>
          <w:spacing w:val="4"/>
          <w:szCs w:val="21"/>
        </w:rPr>
      </w:pPr>
      <w:r>
        <w:rPr>
          <w:rFonts w:hint="eastAsia" w:ascii="宋体" w:hAnsi="宋体"/>
          <w:bCs/>
          <w:spacing w:val="4"/>
          <w:szCs w:val="21"/>
        </w:rPr>
        <w:t>2.1 供货明细表（到厂价，含13%增值税）</w:t>
      </w:r>
    </w:p>
    <w:p>
      <w:pPr>
        <w:spacing w:line="400" w:lineRule="exact"/>
        <w:ind w:firstLine="420" w:firstLineChars="200"/>
        <w:rPr>
          <w:rFonts w:ascii="宋体" w:hAnsi="宋体"/>
          <w:bCs/>
          <w:szCs w:val="21"/>
        </w:rPr>
      </w:pPr>
      <w:r>
        <w:rPr>
          <w:rFonts w:hint="eastAsia" w:ascii="宋体" w:hAnsi="宋体"/>
          <w:bCs/>
          <w:szCs w:val="21"/>
        </w:rPr>
        <w:t>备注：月供应量为乙方可供给甲方的每月产品用量而非乙方的产能。</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本协议为固定单价合同，甲方按照实际需求向乙方发出采购订单，乙方确保在采购订单规定的时间内送达产品至甲方指定库房或者指定收货人。</w:t>
      </w:r>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70" w:name="_Hlk508969622"/>
      <w:r>
        <w:rPr>
          <w:rFonts w:hint="eastAsia" w:ascii="宋体" w:hAnsi="宋体"/>
          <w:szCs w:val="21"/>
        </w:rPr>
        <w:t>采购订单为本协议的有效组成部分，受本协议条款的约束。</w:t>
      </w:r>
      <w:bookmarkEnd w:id="70"/>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overflowPunct w:val="0"/>
        <w:spacing w:line="360" w:lineRule="auto"/>
        <w:jc w:val="center"/>
        <w:outlineLvl w:val="0"/>
        <w:rPr>
          <w:rStyle w:val="35"/>
          <w:sz w:val="28"/>
          <w:szCs w:val="28"/>
        </w:rPr>
      </w:pPr>
      <w:r>
        <w:rPr>
          <w:rStyle w:val="35"/>
          <w:rFonts w:hint="eastAsia"/>
          <w:sz w:val="28"/>
          <w:szCs w:val="28"/>
        </w:rPr>
        <w:t>第五章 供应商质量基本要求</w:t>
      </w:r>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r>
        <w:rPr>
          <w:rFonts w:hint="eastAsia" w:ascii="宋体" w:hAnsi="宋体" w:cs="宋体"/>
          <w:color w:val="FF0000"/>
          <w:kern w:val="0"/>
          <w:szCs w:val="21"/>
        </w:rPr>
        <w:t>（具体条款要求见附件9）</w:t>
      </w:r>
    </w:p>
    <w:p/>
    <w:p>
      <w:pPr>
        <w:overflowPunct w:val="0"/>
        <w:spacing w:line="360" w:lineRule="auto"/>
        <w:jc w:val="center"/>
        <w:outlineLvl w:val="0"/>
        <w:rPr>
          <w:rFonts w:ascii="宋体" w:hAnsi="宋体" w:cs="宋体"/>
          <w:color w:val="FF0000"/>
          <w:kern w:val="0"/>
          <w:szCs w:val="21"/>
        </w:rPr>
      </w:pPr>
    </w:p>
    <w:sectPr>
      <w:pgSz w:w="11906" w:h="16838"/>
      <w:pgMar w:top="1440" w:right="991"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314D6"/>
    <w:rsid w:val="13555E68"/>
    <w:rsid w:val="2B996F06"/>
    <w:rsid w:val="3C815DCA"/>
    <w:rsid w:val="555807AC"/>
    <w:rsid w:val="6BA90FAA"/>
    <w:rsid w:val="73472A24"/>
    <w:rsid w:val="7E257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8"/>
    <w:qFormat/>
    <w:uiPriority w:val="99"/>
    <w:pPr>
      <w:jc w:val="left"/>
    </w:pPr>
    <w:rPr>
      <w:szCs w:val="20"/>
    </w:rPr>
  </w:style>
  <w:style w:type="paragraph" w:styleId="6">
    <w:name w:val="Body Text"/>
    <w:basedOn w:val="1"/>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3"/>
    <w:qFormat/>
    <w:uiPriority w:val="0"/>
    <w:pPr>
      <w:ind w:left="840" w:leftChars="400"/>
    </w:pPr>
  </w:style>
  <w:style w:type="paragraph" w:styleId="10">
    <w:name w:val="Plain Text"/>
    <w:basedOn w:val="1"/>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7"/>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2"/>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2">
    <w:name w:val="目录 1 Char"/>
    <w:link w:val="17"/>
    <w:qFormat/>
    <w:uiPriority w:val="0"/>
  </w:style>
  <w:style w:type="character" w:customStyle="1" w:styleId="33">
    <w:name w:val="目录 3 Char"/>
    <w:link w:val="9"/>
    <w:qFormat/>
    <w:uiPriority w:val="0"/>
  </w:style>
  <w:style w:type="character" w:customStyle="1" w:styleId="34">
    <w:name w:val="black21"/>
    <w:qFormat/>
    <w:uiPriority w:val="0"/>
    <w:rPr>
      <w:color w:val="000000"/>
      <w:sz w:val="21"/>
      <w:szCs w:val="21"/>
      <w:u w:val="none"/>
    </w:rPr>
  </w:style>
  <w:style w:type="character" w:customStyle="1" w:styleId="35">
    <w:name w:val="标题 1 Char"/>
    <w:link w:val="2"/>
    <w:qFormat/>
    <w:uiPriority w:val="0"/>
    <w:rPr>
      <w:b/>
      <w:kern w:val="44"/>
      <w:sz w:val="44"/>
    </w:rPr>
  </w:style>
  <w:style w:type="character" w:customStyle="1" w:styleId="36">
    <w:name w:val="页脚 Char"/>
    <w:link w:val="15"/>
    <w:qFormat/>
    <w:uiPriority w:val="0"/>
    <w:rPr>
      <w:kern w:val="2"/>
      <w:sz w:val="18"/>
      <w:szCs w:val="18"/>
    </w:rPr>
  </w:style>
  <w:style w:type="character" w:customStyle="1" w:styleId="37">
    <w:name w:val="批注框文本 Char"/>
    <w:link w:val="14"/>
    <w:semiHidden/>
    <w:qFormat/>
    <w:uiPriority w:val="99"/>
    <w:rPr>
      <w:kern w:val="2"/>
      <w:sz w:val="18"/>
      <w:szCs w:val="18"/>
    </w:rPr>
  </w:style>
  <w:style w:type="character" w:customStyle="1" w:styleId="38">
    <w:name w:val="批注文字 Char"/>
    <w:link w:val="5"/>
    <w:qFormat/>
    <w:uiPriority w:val="99"/>
    <w:rPr>
      <w:kern w:val="2"/>
      <w:sz w:val="21"/>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1816</Words>
  <Characters>10354</Characters>
  <Lines>86</Lines>
  <Paragraphs>24</Paragraphs>
  <TotalTime>11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2020-11-18T03:59:41Z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