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w:t>
      </w:r>
      <w:r>
        <w:rPr>
          <w:rFonts w:hint="eastAsia"/>
          <w:b/>
          <w:bCs/>
          <w:color w:val="170000"/>
          <w:sz w:val="32"/>
        </w:rPr>
        <w:t>1</w:t>
      </w:r>
      <w:r>
        <w:rPr>
          <w:rFonts w:hint="eastAsia"/>
          <w:b/>
          <w:bCs/>
          <w:color w:val="170000"/>
          <w:sz w:val="32"/>
          <w:lang w:val="en-US" w:eastAsia="zh-CN"/>
        </w:rPr>
        <w:t>16</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2020年1</w:t>
      </w:r>
      <w:r>
        <w:rPr>
          <w:rFonts w:hint="eastAsia"/>
          <w:sz w:val="36"/>
          <w:szCs w:val="36"/>
          <w:lang w:val="en-US" w:eastAsia="zh-CN"/>
        </w:rPr>
        <w:t>1</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- 1</w:t>
      </w:r>
      <w:r>
        <w:rPr>
          <w:rFonts w:hint="eastAsia"/>
          <w:b/>
          <w:bCs/>
          <w:color w:val="0000FF"/>
          <w:sz w:val="24"/>
        </w:rPr>
        <w:t>9</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6"/>
          <w:sz w:val="28"/>
          <w:szCs w:val="28"/>
        </w:rPr>
      </w:pPr>
    </w:p>
    <w:p>
      <w:pPr>
        <w:widowControl/>
        <w:jc w:val="left"/>
        <w:rPr>
          <w:rStyle w:val="36"/>
          <w:sz w:val="28"/>
          <w:szCs w:val="28"/>
        </w:rPr>
      </w:pPr>
      <w:r>
        <w:rPr>
          <w:rStyle w:val="36"/>
          <w:sz w:val="28"/>
          <w:szCs w:val="28"/>
        </w:rPr>
        <w:br w:type="page"/>
      </w:r>
    </w:p>
    <w:p>
      <w:pPr>
        <w:overflowPunct w:val="0"/>
        <w:spacing w:line="360" w:lineRule="auto"/>
        <w:jc w:val="center"/>
        <w:outlineLvl w:val="0"/>
        <w:rPr>
          <w:rFonts w:ascii="宋体" w:hAnsi="宋体"/>
          <w:b/>
          <w:sz w:val="36"/>
          <w:szCs w:val="36"/>
        </w:rPr>
      </w:pPr>
      <w:bookmarkStart w:id="0" w:name="_Toc509411550"/>
      <w:bookmarkStart w:id="1" w:name="_Toc509413672"/>
      <w:bookmarkStart w:id="2" w:name="_Toc508467345"/>
      <w:bookmarkStart w:id="3" w:name="_Toc509411470"/>
      <w:r>
        <w:rPr>
          <w:rStyle w:val="36"/>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b/>
                <w:color w:val="FF0000"/>
                <w:szCs w:val="21"/>
              </w:rPr>
            </w:pPr>
            <w:r>
              <w:rPr>
                <w:rFonts w:hint="eastAsia" w:ascii="宋体" w:hAnsi="宋体"/>
                <w:bCs/>
                <w:szCs w:val="21"/>
              </w:rPr>
              <w:t>2020年</w:t>
            </w:r>
            <w:r>
              <w:rPr>
                <w:rFonts w:hint="eastAsia" w:ascii="宋体" w:hAnsi="宋体"/>
                <w:bCs/>
                <w:szCs w:val="21"/>
                <w:lang w:val="en-US" w:eastAsia="zh-CN"/>
              </w:rPr>
              <w:t>11</w:t>
            </w:r>
            <w:r>
              <w:rPr>
                <w:rFonts w:hint="eastAsia" w:ascii="宋体" w:hAnsi="宋体"/>
                <w:bCs/>
                <w:szCs w:val="21"/>
              </w:rPr>
              <w:t>月-2021年12月</w:t>
            </w:r>
            <w:r>
              <w:rPr>
                <w:rFonts w:hint="eastAsia" w:ascii="宋体" w:hAnsi="宋体"/>
                <w:b/>
                <w:bCs/>
                <w:color w:val="FF0000"/>
                <w:szCs w:val="21"/>
              </w:rPr>
              <w:t xml:space="preserve"> </w:t>
            </w:r>
            <w:r>
              <w:rPr>
                <w:rFonts w:hint="eastAsia" w:ascii="宋体" w:hAnsi="宋体"/>
                <w:bCs/>
                <w:szCs w:val="21"/>
              </w:rPr>
              <w:t>负极石墨采购项目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预计总需求数量</w:t>
            </w:r>
          </w:p>
        </w:tc>
        <w:tc>
          <w:tcPr>
            <w:tcW w:w="5522" w:type="dxa"/>
            <w:vAlign w:val="center"/>
          </w:tcPr>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三元体系石墨：2873.4吨</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磷酸铁锂体系石墨：2075.6吨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sz w:val="21"/>
                <w:szCs w:val="21"/>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依照招标文件规范进行密封后，在投标截止时间之前专人提交或特快专递提交招标人。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hint="eastAsia" w:ascii="宋体" w:hAnsi="宋体"/>
                <w:bCs/>
                <w:szCs w:val="21"/>
              </w:rPr>
            </w:pPr>
            <w:r>
              <w:rPr>
                <w:rFonts w:hint="eastAsia" w:ascii="宋体" w:hAnsi="宋体"/>
                <w:bCs/>
                <w:szCs w:val="21"/>
              </w:rPr>
              <w:t>上述款项缴纳方式：电汇交纳（1.汇款单位请与投标单位名称一致，不接受现金；</w:t>
            </w:r>
          </w:p>
          <w:p>
            <w:pPr>
              <w:overflowPunct w:val="0"/>
              <w:spacing w:line="340" w:lineRule="exact"/>
              <w:rPr>
                <w:rFonts w:ascii="宋体" w:hAnsi="宋体"/>
                <w:bCs/>
                <w:szCs w:val="21"/>
              </w:rPr>
            </w:pPr>
            <w:r>
              <w:rPr>
                <w:rFonts w:hint="eastAsia" w:ascii="宋体" w:hAnsi="宋体"/>
                <w:bCs/>
                <w:szCs w:val="21"/>
              </w:rPr>
              <w:t>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4"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2020年1</w:t>
            </w:r>
            <w:r>
              <w:rPr>
                <w:rFonts w:hint="eastAsia" w:ascii="宋体" w:hAnsi="宋体"/>
                <w:bCs/>
                <w:szCs w:val="21"/>
                <w:lang w:val="en-US" w:eastAsia="zh-CN"/>
              </w:rPr>
              <w:t>1</w:t>
            </w:r>
            <w:r>
              <w:rPr>
                <w:rFonts w:hint="eastAsia" w:ascii="宋体" w:hAnsi="宋体"/>
                <w:bCs/>
                <w:szCs w:val="21"/>
              </w:rPr>
              <w:t>月</w:t>
            </w:r>
            <w:r>
              <w:rPr>
                <w:rFonts w:hint="eastAsia" w:ascii="宋体" w:hAnsi="宋体"/>
                <w:bCs/>
                <w:szCs w:val="21"/>
                <w:lang w:val="en-US" w:eastAsia="zh-CN"/>
              </w:rPr>
              <w:t>26</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w:t>
            </w:r>
            <w:r>
              <w:rPr>
                <w:rFonts w:hint="eastAsia" w:ascii="宋体" w:hAnsi="宋体"/>
                <w:bCs/>
                <w:szCs w:val="21"/>
                <w:lang w:val="en-US" w:eastAsia="zh-CN"/>
              </w:rPr>
              <w:t>11</w:t>
            </w:r>
            <w:r>
              <w:rPr>
                <w:rFonts w:hint="eastAsia" w:ascii="宋体" w:hAnsi="宋体"/>
                <w:bCs/>
                <w:szCs w:val="21"/>
              </w:rPr>
              <w:t>月</w:t>
            </w:r>
            <w:r>
              <w:rPr>
                <w:rFonts w:hint="eastAsia" w:ascii="宋体" w:hAnsi="宋体"/>
                <w:bCs/>
                <w:szCs w:val="21"/>
                <w:lang w:val="en-US" w:eastAsia="zh-CN"/>
              </w:rPr>
              <w:t>26</w:t>
            </w:r>
            <w:r>
              <w:rPr>
                <w:rFonts w:hint="eastAsia" w:ascii="宋体" w:hAnsi="宋体"/>
                <w:bCs/>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left"/>
              <w:rPr>
                <w:rFonts w:ascii="宋体" w:hAnsi="宋体"/>
                <w:bCs/>
                <w:szCs w:val="21"/>
              </w:rPr>
            </w:pPr>
            <w:r>
              <w:rPr>
                <w:rFonts w:hint="eastAsia" w:ascii="宋体" w:hAnsi="宋体"/>
                <w:bCs/>
                <w:szCs w:val="21"/>
              </w:rPr>
              <w:t>12</w:t>
            </w:r>
          </w:p>
        </w:tc>
        <w:tc>
          <w:tcPr>
            <w:tcW w:w="2303" w:type="dxa"/>
            <w:vAlign w:val="center"/>
          </w:tcPr>
          <w:p>
            <w:pPr>
              <w:jc w:val="left"/>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2"/>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2"/>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left"/>
              <w:rPr>
                <w:rFonts w:ascii="宋体" w:hAnsi="宋体"/>
                <w:bCs/>
                <w:szCs w:val="21"/>
              </w:rPr>
            </w:pPr>
            <w:r>
              <w:rPr>
                <w:rFonts w:hint="eastAsia" w:ascii="宋体" w:hAnsi="宋体"/>
                <w:bCs/>
                <w:szCs w:val="21"/>
              </w:rPr>
              <w:t>13</w:t>
            </w:r>
          </w:p>
        </w:tc>
        <w:tc>
          <w:tcPr>
            <w:tcW w:w="2303" w:type="dxa"/>
            <w:vAlign w:val="center"/>
          </w:tcPr>
          <w:p>
            <w:pPr>
              <w:overflowPunct w:val="0"/>
              <w:spacing w:line="340" w:lineRule="exact"/>
              <w:jc w:val="left"/>
              <w:rPr>
                <w:rFonts w:ascii="宋体" w:hAnsi="宋体"/>
                <w:bCs/>
                <w:szCs w:val="21"/>
              </w:rPr>
            </w:pPr>
            <w:r>
              <w:rPr>
                <w:rFonts w:hint="eastAsia" w:ascii="宋体" w:hAnsi="宋体" w:cs="宋体"/>
                <w:bCs/>
                <w:kern w:val="0"/>
                <w:szCs w:val="21"/>
              </w:rPr>
              <w:t>招标监督信息</w:t>
            </w:r>
          </w:p>
        </w:tc>
        <w:tc>
          <w:tcPr>
            <w:tcW w:w="5522" w:type="dxa"/>
            <w:vAlign w:val="top"/>
          </w:tcPr>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2"/>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2"/>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6"/>
          <w:sz w:val="28"/>
          <w:szCs w:val="28"/>
        </w:rPr>
      </w:pPr>
      <w:bookmarkStart w:id="68" w:name="_GoBack"/>
      <w:bookmarkEnd w:id="68"/>
      <w:r>
        <w:rPr>
          <w:rFonts w:hint="eastAsia"/>
        </w:rPr>
        <w:br w:type="page"/>
      </w:r>
      <w:bookmarkStart w:id="4" w:name="_Toc509413673"/>
      <w:bookmarkStart w:id="5" w:name="_Toc509411471"/>
      <w:bookmarkStart w:id="6" w:name="_Toc508467346"/>
      <w:bookmarkStart w:id="7" w:name="_Toc7456"/>
      <w:bookmarkStart w:id="8" w:name="_Toc19073"/>
      <w:bookmarkStart w:id="9" w:name="_Toc509411551"/>
      <w:bookmarkStart w:id="10" w:name="_Toc509413674"/>
      <w:bookmarkStart w:id="11" w:name="_Toc509411552"/>
      <w:bookmarkStart w:id="12" w:name="_Toc509411472"/>
      <w:r>
        <w:rPr>
          <w:rStyle w:val="36"/>
          <w:rFonts w:hint="eastAsia"/>
          <w:sz w:val="28"/>
          <w:szCs w:val="28"/>
        </w:rPr>
        <w:t>投标须知</w:t>
      </w:r>
      <w:bookmarkEnd w:id="4"/>
      <w:bookmarkEnd w:id="5"/>
      <w:bookmarkEnd w:id="6"/>
      <w:bookmarkEnd w:id="7"/>
      <w:bookmarkEnd w:id="8"/>
      <w:bookmarkEnd w:id="9"/>
    </w:p>
    <w:p>
      <w:pPr>
        <w:overflowPunct w:val="0"/>
        <w:spacing w:line="360" w:lineRule="auto"/>
        <w:outlineLvl w:val="0"/>
        <w:rPr>
          <w:rStyle w:val="36"/>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3" w:name="_Toc8039"/>
      <w:r>
        <w:rPr>
          <w:rFonts w:hint="eastAsia" w:ascii="宋体" w:hAnsi="宋体" w:cs="宋体"/>
          <w:b/>
          <w:sz w:val="24"/>
        </w:rPr>
        <w:t>1. 说明</w:t>
      </w:r>
      <w:bookmarkEnd w:id="13"/>
    </w:p>
    <w:p>
      <w:pPr>
        <w:rPr>
          <w:rFonts w:ascii="宋体" w:hAnsi="宋体" w:cs="宋体"/>
          <w:sz w:val="24"/>
        </w:rPr>
      </w:pPr>
      <w:r>
        <w:rPr>
          <w:rFonts w:hint="eastAsia" w:ascii="宋体" w:hAnsi="宋体" w:cs="宋体"/>
          <w:sz w:val="24"/>
        </w:rPr>
        <w:t>1.1.本招标文件仅适用于</w:t>
      </w:r>
      <w:r>
        <w:rPr>
          <w:rFonts w:hint="eastAsia" w:ascii="宋体" w:hAnsi="宋体"/>
          <w:bCs/>
          <w:szCs w:val="21"/>
        </w:rPr>
        <w:t>2020年1</w:t>
      </w:r>
      <w:r>
        <w:rPr>
          <w:rFonts w:hint="eastAsia" w:ascii="宋体" w:hAnsi="宋体"/>
          <w:bCs/>
          <w:szCs w:val="21"/>
          <w:lang w:val="en-US" w:eastAsia="zh-CN"/>
        </w:rPr>
        <w:t>1</w:t>
      </w:r>
      <w:r>
        <w:rPr>
          <w:rFonts w:hint="eastAsia" w:ascii="宋体" w:hAnsi="宋体"/>
          <w:bCs/>
          <w:szCs w:val="21"/>
        </w:rPr>
        <w:t>月-2021年12月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4" w:name="_Toc29031"/>
      <w:bookmarkStart w:id="15" w:name="_Toc3393"/>
      <w:r>
        <w:rPr>
          <w:rFonts w:hint="eastAsia" w:ascii="宋体" w:hAnsi="宋体" w:cs="宋体"/>
          <w:b/>
          <w:sz w:val="24"/>
        </w:rPr>
        <w:t>2. 词语释义</w:t>
      </w:r>
      <w:bookmarkEnd w:id="14"/>
      <w:bookmarkEnd w:id="15"/>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16" w:name="_Toc30720"/>
      <w:bookmarkStart w:id="17" w:name="_Toc12828"/>
      <w:r>
        <w:rPr>
          <w:rFonts w:hint="eastAsia" w:ascii="宋体" w:hAnsi="宋体" w:cs="宋体"/>
          <w:b/>
          <w:sz w:val="24"/>
        </w:rPr>
        <w:t>B 投标人</w:t>
      </w:r>
      <w:bookmarkEnd w:id="16"/>
      <w:bookmarkEnd w:id="17"/>
    </w:p>
    <w:p>
      <w:pPr>
        <w:rPr>
          <w:rFonts w:ascii="宋体" w:hAnsi="宋体" w:cs="宋体"/>
          <w:b/>
          <w:sz w:val="24"/>
        </w:rPr>
      </w:pPr>
      <w:bookmarkStart w:id="18" w:name="_Toc27382"/>
      <w:bookmarkStart w:id="19" w:name="_Toc26778"/>
      <w:r>
        <w:rPr>
          <w:rFonts w:hint="eastAsia" w:ascii="宋体" w:hAnsi="宋体" w:cs="宋体"/>
          <w:b/>
          <w:sz w:val="24"/>
        </w:rPr>
        <w:t>3. 合格投标人的条件</w:t>
      </w:r>
      <w:bookmarkEnd w:id="18"/>
      <w:bookmarkEnd w:id="19"/>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0" w:name="_Toc29912"/>
      <w:bookmarkStart w:id="21" w:name="_Toc23308"/>
      <w:r>
        <w:rPr>
          <w:rFonts w:hint="eastAsia" w:ascii="宋体" w:hAnsi="宋体" w:cs="宋体"/>
          <w:b/>
          <w:sz w:val="24"/>
        </w:rPr>
        <w:t>4. 投标人代表</w:t>
      </w:r>
      <w:bookmarkEnd w:id="20"/>
      <w:bookmarkEnd w:id="21"/>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2" w:name="_Toc31186"/>
      <w:bookmarkStart w:id="23" w:name="_Toc681"/>
      <w:r>
        <w:rPr>
          <w:rFonts w:hint="eastAsia" w:ascii="宋体" w:hAnsi="宋体" w:cs="宋体"/>
          <w:b/>
          <w:sz w:val="24"/>
        </w:rPr>
        <w:t>5. 费用</w:t>
      </w:r>
      <w:bookmarkEnd w:id="22"/>
      <w:bookmarkEnd w:id="23"/>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4" w:name="_Toc814"/>
      <w:bookmarkStart w:id="25" w:name="_Toc27626"/>
      <w:r>
        <w:rPr>
          <w:rFonts w:hint="eastAsia" w:ascii="宋体" w:hAnsi="宋体" w:cs="宋体"/>
          <w:b/>
          <w:sz w:val="24"/>
        </w:rPr>
        <w:t>C 招标文件说明</w:t>
      </w:r>
      <w:bookmarkEnd w:id="24"/>
      <w:bookmarkEnd w:id="25"/>
    </w:p>
    <w:p>
      <w:pPr>
        <w:rPr>
          <w:rFonts w:ascii="宋体" w:hAnsi="宋体" w:cs="宋体"/>
          <w:b/>
          <w:sz w:val="24"/>
        </w:rPr>
      </w:pPr>
      <w:bookmarkStart w:id="26" w:name="_Toc14605"/>
      <w:bookmarkStart w:id="27" w:name="_Toc23984"/>
      <w:r>
        <w:rPr>
          <w:rFonts w:hint="eastAsia" w:ascii="宋体" w:hAnsi="宋体" w:cs="宋体"/>
          <w:b/>
          <w:sz w:val="24"/>
        </w:rPr>
        <w:t>6. 招标文件</w:t>
      </w:r>
      <w:bookmarkEnd w:id="26"/>
      <w:bookmarkEnd w:id="27"/>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28" w:name="_Toc31584"/>
      <w:bookmarkStart w:id="29" w:name="_Toc27675"/>
      <w:r>
        <w:rPr>
          <w:rFonts w:hint="eastAsia" w:ascii="宋体" w:hAnsi="宋体" w:cs="宋体"/>
          <w:b/>
          <w:sz w:val="24"/>
        </w:rPr>
        <w:t>7. 对招标文件的澄清</w:t>
      </w:r>
      <w:bookmarkEnd w:id="28"/>
      <w:bookmarkEnd w:id="29"/>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0" w:name="_Toc8693"/>
      <w:bookmarkStart w:id="31" w:name="_Toc10722"/>
      <w:r>
        <w:rPr>
          <w:rFonts w:hint="eastAsia" w:ascii="宋体" w:hAnsi="宋体" w:cs="宋体"/>
          <w:b/>
          <w:sz w:val="24"/>
        </w:rPr>
        <w:t>8. 招标文件的修改</w:t>
      </w:r>
      <w:bookmarkEnd w:id="30"/>
      <w:bookmarkEnd w:id="31"/>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2" w:name="_Toc27720"/>
      <w:bookmarkStart w:id="33" w:name="_Toc9695"/>
      <w:r>
        <w:rPr>
          <w:rFonts w:hint="eastAsia" w:ascii="宋体" w:hAnsi="宋体" w:cs="宋体"/>
          <w:b/>
          <w:sz w:val="24"/>
        </w:rPr>
        <w:t>D投标文件说明</w:t>
      </w:r>
      <w:bookmarkEnd w:id="32"/>
      <w:bookmarkEnd w:id="33"/>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4" w:name="_Toc9100"/>
      <w:bookmarkStart w:id="35" w:name="_Toc23579"/>
      <w:r>
        <w:rPr>
          <w:rFonts w:ascii="Arial" w:hAnsi="Arial" w:cs="Arial"/>
          <w:b/>
          <w:sz w:val="24"/>
        </w:rPr>
        <w:t>＊</w:t>
      </w:r>
      <w:r>
        <w:rPr>
          <w:rFonts w:hint="eastAsia" w:ascii="宋体" w:hAnsi="宋体" w:cs="宋体"/>
          <w:b/>
          <w:sz w:val="24"/>
        </w:rPr>
        <w:t>10. 投标文件计量单位和使用文字</w:t>
      </w:r>
      <w:bookmarkEnd w:id="34"/>
      <w:bookmarkEnd w:id="35"/>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val="0"/>
          <w:bCs/>
          <w:sz w:val="24"/>
          <w:highlight w:val="red"/>
        </w:rPr>
      </w:pPr>
      <w:bookmarkStart w:id="36" w:name="_Toc10482"/>
      <w:bookmarkStart w:id="37" w:name="_Toc32010"/>
      <w:r>
        <w:rPr>
          <w:rFonts w:ascii="Arial" w:hAnsi="Arial" w:cs="Arial"/>
          <w:b w:val="0"/>
          <w:bCs/>
          <w:sz w:val="24"/>
          <w:highlight w:val="red"/>
        </w:rPr>
        <w:t>＊</w:t>
      </w:r>
      <w:r>
        <w:rPr>
          <w:rFonts w:hint="eastAsia" w:ascii="宋体" w:hAnsi="宋体" w:cs="宋体"/>
          <w:b w:val="0"/>
          <w:bCs/>
          <w:sz w:val="24"/>
          <w:highlight w:val="red"/>
        </w:rPr>
        <w:t>11. 投标文件的组成</w:t>
      </w:r>
      <w:bookmarkEnd w:id="36"/>
      <w:bookmarkEnd w:id="37"/>
      <w:r>
        <w:rPr>
          <w:rFonts w:hint="eastAsia" w:ascii="宋体" w:hAnsi="宋体" w:cs="宋体"/>
          <w:b w:val="0"/>
          <w:bCs/>
          <w:sz w:val="24"/>
          <w:highlight w:val="red"/>
        </w:rPr>
        <w:t>（以下文件均需加盖公章）</w:t>
      </w:r>
    </w:p>
    <w:p>
      <w:pPr>
        <w:rPr>
          <w:rFonts w:ascii="宋体" w:hAnsi="宋体" w:cs="宋体"/>
          <w:b w:val="0"/>
          <w:bCs/>
          <w:szCs w:val="21"/>
          <w:highlight w:val="red"/>
        </w:rPr>
      </w:pPr>
      <w:r>
        <w:rPr>
          <w:rFonts w:hint="eastAsia" w:ascii="宋体" w:hAnsi="宋体" w:cs="宋体"/>
          <w:b w:val="0"/>
          <w:bCs/>
          <w:szCs w:val="21"/>
          <w:highlight w:val="red"/>
        </w:rPr>
        <w:t>1.1. 投标文件由11.2、11.3和11.4款规定的内容共同组成</w:t>
      </w:r>
    </w:p>
    <w:p>
      <w:pPr>
        <w:rPr>
          <w:rFonts w:ascii="宋体" w:hAnsi="宋体" w:cs="宋体"/>
          <w:b w:val="0"/>
          <w:bCs/>
          <w:szCs w:val="21"/>
          <w:highlight w:val="red"/>
        </w:rPr>
      </w:pPr>
      <w:r>
        <w:rPr>
          <w:rFonts w:hint="eastAsia" w:ascii="宋体" w:hAnsi="宋体" w:cs="宋体"/>
          <w:b w:val="0"/>
          <w:bCs/>
          <w:szCs w:val="21"/>
          <w:highlight w:val="red"/>
        </w:rPr>
        <w:t>11.1.1.上述文件需分别装订包装（不接受不装钉的标书）</w:t>
      </w:r>
    </w:p>
    <w:p>
      <w:pPr>
        <w:rPr>
          <w:rFonts w:ascii="宋体" w:hAnsi="宋体" w:cs="宋体"/>
          <w:b w:val="0"/>
          <w:bCs/>
          <w:szCs w:val="21"/>
          <w:highlight w:val="red"/>
        </w:rPr>
      </w:pPr>
      <w:r>
        <w:rPr>
          <w:rFonts w:hint="eastAsia" w:ascii="宋体" w:hAnsi="宋体" w:cs="宋体"/>
          <w:b w:val="0"/>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val="0"/>
          <w:bCs w:val="0"/>
          <w:color w:val="000000"/>
          <w:sz w:val="24"/>
          <w:highlight w:val="red"/>
        </w:rPr>
      </w:pPr>
      <w:r>
        <w:rPr>
          <w:rFonts w:hint="eastAsia" w:ascii="宋体" w:hAnsi="宋体" w:cs="宋体"/>
          <w:b w:val="0"/>
          <w:bCs w:val="0"/>
          <w:szCs w:val="21"/>
          <w:highlight w:val="red"/>
        </w:rPr>
        <w:t>*</w:t>
      </w:r>
      <w:r>
        <w:rPr>
          <w:rFonts w:hint="eastAsia" w:ascii="宋体" w:hAnsi="宋体" w:cs="宋体"/>
          <w:b w:val="0"/>
          <w:bCs w:val="0"/>
          <w:color w:val="000000"/>
          <w:sz w:val="24"/>
          <w:highlight w:val="red"/>
        </w:rPr>
        <w:t>11.3.商务文件（单独密封）：</w:t>
      </w:r>
    </w:p>
    <w:p>
      <w:pPr>
        <w:pStyle w:val="29"/>
        <w:numPr>
          <w:ilvl w:val="0"/>
          <w:numId w:val="3"/>
        </w:numPr>
        <w:ind w:left="3256" w:firstLineChars="0"/>
        <w:rPr>
          <w:rFonts w:ascii="宋体" w:hAnsi="宋体" w:cs="宋体"/>
          <w:b w:val="0"/>
          <w:bCs w:val="0"/>
          <w:color w:val="000000"/>
          <w:sz w:val="24"/>
          <w:highlight w:val="red"/>
          <w:u w:val="single"/>
        </w:rPr>
      </w:pPr>
      <w:bookmarkStart w:id="38" w:name="_Toc4969"/>
      <w:bookmarkStart w:id="39" w:name="_Toc17069"/>
      <w:r>
        <w:rPr>
          <w:rFonts w:hint="eastAsia" w:ascii="宋体" w:hAnsi="宋体" w:cs="宋体"/>
          <w:b w:val="0"/>
          <w:bCs w:val="0"/>
          <w:color w:val="000000"/>
          <w:sz w:val="24"/>
          <w:highlight w:val="red"/>
          <w:u w:val="single"/>
        </w:rPr>
        <w:t>报价一览表(附件５)；</w:t>
      </w:r>
      <w:bookmarkEnd w:id="38"/>
      <w:bookmarkEnd w:id="39"/>
    </w:p>
    <w:p>
      <w:pPr>
        <w:pStyle w:val="29"/>
        <w:numPr>
          <w:ilvl w:val="0"/>
          <w:numId w:val="3"/>
        </w:numPr>
        <w:ind w:left="3256" w:firstLineChars="0"/>
        <w:rPr>
          <w:rFonts w:ascii="宋体" w:hAnsi="宋体" w:cs="宋体"/>
          <w:b w:val="0"/>
          <w:bCs w:val="0"/>
          <w:color w:val="000000"/>
          <w:sz w:val="24"/>
          <w:highlight w:val="red"/>
          <w:u w:val="single"/>
        </w:rPr>
      </w:pPr>
      <w:r>
        <w:rPr>
          <w:rFonts w:hint="eastAsia" w:ascii="宋体" w:hAnsi="宋体" w:cs="宋体"/>
          <w:b w:val="0"/>
          <w:bCs w:val="0"/>
          <w:color w:val="000000"/>
          <w:sz w:val="24"/>
          <w:highlight w:val="red"/>
          <w:u w:val="single"/>
        </w:rPr>
        <w:t>报价明细表（附件６）；</w:t>
      </w:r>
    </w:p>
    <w:p>
      <w:pPr>
        <w:pStyle w:val="29"/>
        <w:numPr>
          <w:ilvl w:val="0"/>
          <w:numId w:val="3"/>
        </w:numPr>
        <w:ind w:left="3256" w:firstLineChars="0"/>
        <w:rPr>
          <w:rFonts w:ascii="宋体" w:hAnsi="宋体" w:cs="宋体"/>
          <w:b w:val="0"/>
          <w:bCs w:val="0"/>
          <w:color w:val="000000"/>
          <w:sz w:val="24"/>
          <w:highlight w:val="red"/>
          <w:u w:val="single"/>
        </w:rPr>
      </w:pPr>
      <w:bookmarkStart w:id="40" w:name="_Toc24159"/>
      <w:bookmarkStart w:id="41" w:name="_Toc12091"/>
      <w:r>
        <w:rPr>
          <w:rFonts w:hint="eastAsia" w:ascii="宋体" w:hAnsi="宋体" w:cs="宋体"/>
          <w:b w:val="0"/>
          <w:bCs w:val="0"/>
          <w:color w:val="000000"/>
          <w:sz w:val="24"/>
          <w:highlight w:val="red"/>
          <w:u w:val="single"/>
        </w:rPr>
        <w:t>合同条款偏离表</w:t>
      </w:r>
      <w:bookmarkEnd w:id="40"/>
      <w:bookmarkEnd w:id="41"/>
      <w:r>
        <w:rPr>
          <w:rFonts w:hint="eastAsia" w:ascii="宋体" w:hAnsi="宋体" w:cs="宋体"/>
          <w:b w:val="0"/>
          <w:bCs w:val="0"/>
          <w:color w:val="000000"/>
          <w:sz w:val="24"/>
          <w:highlight w:val="red"/>
          <w:u w:val="single"/>
        </w:rPr>
        <w:t>（附件７）。</w:t>
      </w:r>
    </w:p>
    <w:p>
      <w:pPr>
        <w:pStyle w:val="29"/>
        <w:numPr>
          <w:ilvl w:val="0"/>
          <w:numId w:val="3"/>
        </w:numPr>
        <w:ind w:left="3256" w:firstLineChars="0"/>
        <w:rPr>
          <w:rFonts w:ascii="宋体" w:hAnsi="宋体" w:cs="宋体"/>
          <w:b w:val="0"/>
          <w:bCs w:val="0"/>
          <w:color w:val="000000"/>
          <w:sz w:val="24"/>
          <w:highlight w:val="red"/>
          <w:u w:val="single"/>
        </w:rPr>
      </w:pPr>
      <w:r>
        <w:rPr>
          <w:rFonts w:hint="eastAsia" w:ascii="宋体" w:hAnsi="宋体" w:cs="宋体"/>
          <w:b w:val="0"/>
          <w:bCs w:val="0"/>
          <w:color w:val="000000"/>
          <w:sz w:val="24"/>
          <w:highlight w:val="red"/>
          <w:u w:val="single"/>
        </w:rPr>
        <w:t>供应商质量基本要求偏离表（附件8）</w:t>
      </w:r>
    </w:p>
    <w:p>
      <w:pPr>
        <w:rPr>
          <w:rFonts w:ascii="宋体" w:hAnsi="宋体" w:cs="宋体"/>
          <w:b/>
          <w:color w:val="000000"/>
          <w:sz w:val="24"/>
        </w:rPr>
      </w:pPr>
      <w:bookmarkStart w:id="42" w:name="_Toc8081"/>
      <w:bookmarkStart w:id="43" w:name="_Toc23718"/>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2"/>
    <w:bookmarkEnd w:id="43"/>
    <w:p>
      <w:pPr>
        <w:rPr>
          <w:rFonts w:ascii="宋体" w:hAnsi="宋体" w:cs="宋体"/>
          <w:b/>
          <w:sz w:val="24"/>
        </w:rPr>
      </w:pPr>
      <w:bookmarkStart w:id="44" w:name="_Toc819"/>
      <w:bookmarkStart w:id="45" w:name="_Toc32007"/>
      <w:r>
        <w:rPr>
          <w:rFonts w:hint="eastAsia" w:ascii="宋体" w:hAnsi="宋体" w:cs="宋体"/>
          <w:b/>
          <w:bCs/>
          <w:szCs w:val="21"/>
        </w:rPr>
        <w:t>*</w:t>
      </w:r>
      <w:r>
        <w:rPr>
          <w:rFonts w:hint="eastAsia" w:ascii="宋体" w:hAnsi="宋体" w:cs="宋体"/>
          <w:b/>
          <w:sz w:val="24"/>
        </w:rPr>
        <w:t>14. 投标保证金</w:t>
      </w:r>
      <w:bookmarkEnd w:id="44"/>
      <w:bookmarkEnd w:id="45"/>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46" w:name="_Toc8079"/>
      <w:bookmarkStart w:id="47" w:name="_Toc18240"/>
      <w:r>
        <w:rPr>
          <w:rFonts w:hint="eastAsia" w:ascii="宋体" w:hAnsi="宋体" w:cs="宋体"/>
          <w:sz w:val="24"/>
        </w:rPr>
        <w:t>14.5.3. 投标人在投标过程中有违反有关法律法规行为的；</w:t>
      </w:r>
      <w:bookmarkEnd w:id="46"/>
      <w:bookmarkEnd w:id="47"/>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48" w:name="_Toc19793"/>
      <w:bookmarkStart w:id="49" w:name="_Toc4586"/>
      <w:r>
        <w:rPr>
          <w:rFonts w:hint="eastAsia" w:ascii="宋体" w:hAnsi="宋体" w:cs="宋体"/>
          <w:sz w:val="24"/>
        </w:rPr>
        <w:t>14.5.5. 中标人不按签订合同约定执行的；</w:t>
      </w:r>
      <w:bookmarkEnd w:id="48"/>
      <w:bookmarkEnd w:id="49"/>
    </w:p>
    <w:p>
      <w:pPr>
        <w:rPr>
          <w:rFonts w:ascii="宋体" w:hAnsi="宋体" w:cs="宋体"/>
          <w:sz w:val="24"/>
        </w:rPr>
      </w:pPr>
      <w:bookmarkStart w:id="50" w:name="_Toc10986"/>
      <w:bookmarkStart w:id="51" w:name="_Toc10924"/>
      <w:r>
        <w:rPr>
          <w:rFonts w:hint="eastAsia" w:ascii="宋体" w:hAnsi="宋体" w:cs="宋体"/>
          <w:b/>
          <w:bCs/>
          <w:szCs w:val="21"/>
        </w:rPr>
        <w:t>*</w:t>
      </w:r>
      <w:r>
        <w:rPr>
          <w:rFonts w:hint="eastAsia" w:ascii="宋体" w:hAnsi="宋体" w:cs="宋体"/>
          <w:sz w:val="24"/>
        </w:rPr>
        <w:t>15. 投标文件的有效期</w:t>
      </w:r>
      <w:bookmarkEnd w:id="50"/>
      <w:bookmarkEnd w:id="51"/>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2" w:name="_Toc10916"/>
      <w:bookmarkStart w:id="53" w:name="_Toc31903"/>
      <w:r>
        <w:rPr>
          <w:rFonts w:hint="eastAsia" w:ascii="宋体" w:hAnsi="宋体" w:cs="宋体"/>
          <w:b/>
          <w:bCs/>
          <w:szCs w:val="21"/>
        </w:rPr>
        <w:t>*</w:t>
      </w:r>
      <w:r>
        <w:rPr>
          <w:rFonts w:hint="eastAsia" w:ascii="宋体" w:hAnsi="宋体" w:cs="宋体"/>
          <w:b/>
          <w:sz w:val="24"/>
        </w:rPr>
        <w:t>16. 投标文件的签署及加密</w:t>
      </w:r>
      <w:bookmarkEnd w:id="52"/>
      <w:bookmarkEnd w:id="53"/>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4" w:name="_Toc16079"/>
      <w:bookmarkStart w:id="55" w:name="_Toc23121"/>
      <w:r>
        <w:rPr>
          <w:rFonts w:hint="eastAsia" w:ascii="宋体" w:hAnsi="宋体" w:cs="宋体"/>
          <w:sz w:val="24"/>
        </w:rPr>
        <w:t>E. 投标文件的递交</w:t>
      </w:r>
      <w:bookmarkEnd w:id="54"/>
      <w:bookmarkEnd w:id="55"/>
    </w:p>
    <w:p>
      <w:pPr>
        <w:rPr>
          <w:rFonts w:ascii="宋体" w:hAnsi="宋体" w:cs="宋体"/>
          <w:b/>
          <w:sz w:val="24"/>
        </w:rPr>
      </w:pPr>
      <w:bookmarkStart w:id="56" w:name="_Toc29058"/>
      <w:bookmarkStart w:id="57" w:name="_Toc3580"/>
      <w:r>
        <w:rPr>
          <w:rFonts w:hint="eastAsia" w:ascii="宋体" w:hAnsi="宋体" w:cs="宋体"/>
          <w:b/>
          <w:sz w:val="24"/>
        </w:rPr>
        <w:t>17. 投标截止时间</w:t>
      </w:r>
      <w:bookmarkEnd w:id="56"/>
      <w:bookmarkEnd w:id="57"/>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58" w:name="_Toc32039"/>
      <w:bookmarkStart w:id="59" w:name="_Toc18815"/>
      <w:r>
        <w:rPr>
          <w:rFonts w:hint="eastAsia" w:ascii="宋体" w:hAnsi="宋体" w:cs="宋体"/>
          <w:b/>
          <w:sz w:val="24"/>
        </w:rPr>
        <w:t>18. 投标文件的修改和撤回</w:t>
      </w:r>
      <w:bookmarkEnd w:id="58"/>
      <w:bookmarkEnd w:id="59"/>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2"/>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0" w:name="_Toc30916"/>
      <w:bookmarkStart w:id="61" w:name="_Toc2574"/>
      <w:r>
        <w:rPr>
          <w:rFonts w:hint="eastAsia" w:ascii="宋体" w:hAnsi="宋体" w:cs="宋体"/>
          <w:b/>
          <w:sz w:val="24"/>
        </w:rPr>
        <w:t>K、有关本招标文件的任何疑问，可函、电下列联系方式</w:t>
      </w:r>
      <w:bookmarkEnd w:id="60"/>
      <w:bookmarkEnd w:id="61"/>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sectPr>
          <w:footerReference r:id="rId6" w:type="default"/>
          <w:pgSz w:w="11906" w:h="16838"/>
          <w:pgMar w:top="1440" w:right="1800" w:bottom="1440" w:left="1800" w:header="567" w:footer="567" w:gutter="0"/>
          <w:pgNumType w:fmt="numberInDash"/>
          <w:cols w:space="720" w:num="1"/>
          <w:docGrid w:type="lines" w:linePitch="383" w:charSpace="0"/>
        </w:sectPr>
      </w:pPr>
      <w:r>
        <w:rPr>
          <w:rFonts w:hint="eastAsia" w:ascii="宋体" w:hAnsi="宋体" w:cs="宋体"/>
          <w:b/>
          <w:sz w:val="24"/>
        </w:rPr>
        <w:t xml:space="preserve">  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jc w:val="center"/>
        <w:rPr>
          <w:rFonts w:ascii="宋体" w:hAnsi="宋体" w:cs="宋体"/>
          <w:b/>
          <w:sz w:val="32"/>
          <w:szCs w:val="32"/>
        </w:rPr>
      </w:pPr>
      <w:r>
        <w:rPr>
          <w:rFonts w:hint="eastAsia" w:ascii="宋体" w:hAnsi="宋体" w:cs="宋体"/>
          <w:b/>
          <w:sz w:val="32"/>
          <w:szCs w:val="32"/>
        </w:rPr>
        <w:t>招标说明</w:t>
      </w:r>
    </w:p>
    <w:p>
      <w:pPr>
        <w:pStyle w:val="29"/>
        <w:numPr>
          <w:ilvl w:val="0"/>
          <w:numId w:val="5"/>
        </w:numPr>
        <w:ind w:firstLineChars="0"/>
        <w:rPr>
          <w:rFonts w:ascii="宋体" w:hAnsi="宋体" w:cs="宋体"/>
          <w:b/>
          <w:sz w:val="24"/>
        </w:rPr>
      </w:pPr>
      <w:r>
        <w:rPr>
          <w:rFonts w:hint="eastAsia" w:ascii="宋体" w:hAnsi="宋体" w:cs="宋体"/>
          <w:b/>
          <w:sz w:val="24"/>
        </w:rPr>
        <w:t>现场</w:t>
      </w:r>
      <w:r>
        <w:rPr>
          <w:rFonts w:hint="eastAsia" w:ascii="宋体" w:hAnsi="宋体" w:cs="宋体"/>
          <w:b/>
          <w:sz w:val="24"/>
          <w:lang w:val="en-US" w:eastAsia="zh-CN"/>
        </w:rPr>
        <w:t>开</w:t>
      </w:r>
      <w:r>
        <w:rPr>
          <w:rFonts w:hint="eastAsia" w:ascii="宋体" w:hAnsi="宋体" w:cs="宋体"/>
          <w:b/>
          <w:sz w:val="24"/>
        </w:rPr>
        <w:t>标，要求投标方销售总监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r>
        <w:rPr>
          <w:rFonts w:hint="eastAsia" w:ascii="宋体" w:hAnsi="宋体" w:cs="宋体"/>
          <w:b/>
          <w:sz w:val="24"/>
          <w:lang w:val="en-US" w:eastAsia="zh-CN"/>
        </w:rPr>
        <w:t>北京</w:t>
      </w:r>
    </w:p>
    <w:p>
      <w:pPr>
        <w:pStyle w:val="29"/>
        <w:numPr>
          <w:ilvl w:val="0"/>
          <w:numId w:val="5"/>
        </w:numPr>
        <w:ind w:firstLineChars="0"/>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numPr>
          <w:ilvl w:val="0"/>
          <w:numId w:val="5"/>
        </w:numPr>
        <w:ind w:firstLineChars="0"/>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天，电汇或银承；同等价格条件</w:t>
      </w:r>
      <w:r>
        <w:rPr>
          <w:rFonts w:hint="eastAsia" w:ascii="宋体" w:hAnsi="宋体" w:cs="宋体"/>
          <w:b/>
          <w:sz w:val="24"/>
          <w:lang w:val="en-US" w:eastAsia="zh-CN"/>
        </w:rPr>
        <w:t>下账期长的厂家</w:t>
      </w:r>
      <w:r>
        <w:rPr>
          <w:rFonts w:hint="eastAsia" w:ascii="宋体" w:hAnsi="宋体" w:cs="宋体"/>
          <w:b/>
          <w:sz w:val="24"/>
        </w:rPr>
        <w:t>会优先考虑。</w:t>
      </w:r>
    </w:p>
    <w:p>
      <w:pPr>
        <w:pStyle w:val="29"/>
        <w:numPr>
          <w:ilvl w:val="0"/>
          <w:numId w:val="5"/>
        </w:numPr>
        <w:ind w:firstLineChars="0"/>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numPr>
          <w:ilvl w:val="0"/>
          <w:numId w:val="5"/>
        </w:numPr>
        <w:ind w:firstLineChars="0"/>
        <w:rPr>
          <w:rFonts w:ascii="宋体" w:hAnsi="宋体" w:cs="宋体"/>
          <w:b/>
          <w:sz w:val="24"/>
        </w:rPr>
      </w:pPr>
      <w:r>
        <w:rPr>
          <w:rFonts w:hint="eastAsia" w:ascii="宋体" w:hAnsi="宋体" w:cs="宋体"/>
          <w:b/>
          <w:sz w:val="24"/>
        </w:rPr>
        <w:t>初次合作的新供方中标后，我司保证在6个月内完成测试和引入。</w:t>
      </w:r>
    </w:p>
    <w:p>
      <w:pPr>
        <w:overflowPunct w:val="0"/>
        <w:spacing w:line="360" w:lineRule="auto"/>
        <w:jc w:val="center"/>
        <w:outlineLvl w:val="0"/>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b/>
          <w:spacing w:val="4"/>
          <w:sz w:val="18"/>
        </w:rPr>
      </w:pPr>
    </w:p>
    <w:p>
      <w:pPr>
        <w:overflowPunct w:val="0"/>
        <w:spacing w:line="360" w:lineRule="auto"/>
        <w:jc w:val="center"/>
        <w:outlineLvl w:val="0"/>
        <w:rPr>
          <w:rStyle w:val="36"/>
          <w:sz w:val="28"/>
          <w:szCs w:val="28"/>
        </w:rPr>
      </w:pPr>
      <w:r>
        <w:rPr>
          <w:rStyle w:val="36"/>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rPr>
          <w:rFonts w:ascii="宋体" w:hAnsi="宋体" w:cs="宋体"/>
          <w:szCs w:val="21"/>
        </w:rPr>
      </w:pPr>
      <w:r>
        <w:rPr>
          <w:rFonts w:hint="eastAsia" w:ascii="宋体" w:hAnsi="宋体" w:cs="宋体"/>
          <w:szCs w:val="21"/>
        </w:rPr>
        <w:t>1.投标函（附件1）</w:t>
      </w:r>
    </w:p>
    <w:p>
      <w:pPr>
        <w:rPr>
          <w:rFonts w:ascii="宋体" w:hAnsi="宋体" w:cs="宋体"/>
          <w:szCs w:val="21"/>
        </w:rPr>
      </w:pPr>
      <w:r>
        <w:rPr>
          <w:rFonts w:hint="eastAsia" w:ascii="宋体" w:hAnsi="宋体" w:cs="宋体"/>
          <w:szCs w:val="21"/>
        </w:rPr>
        <w:t>2.法定代表人授权委托书（附件2）</w:t>
      </w:r>
    </w:p>
    <w:p>
      <w:pPr>
        <w:rPr>
          <w:rFonts w:ascii="宋体" w:hAnsi="宋体" w:cs="宋体"/>
          <w:szCs w:val="21"/>
        </w:rPr>
      </w:pPr>
      <w:r>
        <w:rPr>
          <w:rFonts w:hint="eastAsia" w:ascii="宋体" w:hAnsi="宋体" w:cs="宋体"/>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p>
      <w:pPr>
        <w:overflowPunct w:val="0"/>
        <w:spacing w:line="360" w:lineRule="auto"/>
        <w:jc w:val="center"/>
        <w:outlineLvl w:val="0"/>
        <w:rPr>
          <w:rStyle w:val="36"/>
          <w:sz w:val="28"/>
          <w:szCs w:val="28"/>
        </w:rPr>
      </w:pPr>
      <w:r>
        <w:rPr>
          <w:b/>
          <w:spacing w:val="4"/>
          <w:sz w:val="18"/>
        </w:rPr>
        <w:br w:type="page"/>
      </w:r>
      <w:r>
        <w:rPr>
          <w:rStyle w:val="36"/>
          <w:sz w:val="28"/>
          <w:szCs w:val="28"/>
        </w:rPr>
        <w:t>第</w:t>
      </w:r>
      <w:r>
        <w:rPr>
          <w:rStyle w:val="36"/>
          <w:rFonts w:hint="eastAsia"/>
          <w:sz w:val="28"/>
          <w:szCs w:val="28"/>
        </w:rPr>
        <w:t>三</w:t>
      </w:r>
      <w:r>
        <w:rPr>
          <w:rStyle w:val="36"/>
          <w:sz w:val="28"/>
          <w:szCs w:val="28"/>
        </w:rPr>
        <w:t>章</w:t>
      </w:r>
      <w:r>
        <w:rPr>
          <w:rStyle w:val="36"/>
          <w:rFonts w:hint="eastAsia"/>
          <w:sz w:val="28"/>
          <w:szCs w:val="28"/>
        </w:rPr>
        <w:t xml:space="preserve"> 招标技术要求</w:t>
      </w:r>
    </w:p>
    <w:p>
      <w:pPr>
        <w:overflowPunct w:val="0"/>
        <w:spacing w:line="360" w:lineRule="auto"/>
        <w:outlineLvl w:val="0"/>
        <w:rPr>
          <w:kern w:val="0"/>
          <w:sz w:val="24"/>
          <w:szCs w:val="20"/>
        </w:rPr>
      </w:pPr>
    </w:p>
    <w:tbl>
      <w:tblPr>
        <w:tblStyle w:val="23"/>
        <w:tblW w:w="8969" w:type="dxa"/>
        <w:jc w:val="center"/>
        <w:tblLayout w:type="fixed"/>
        <w:tblCellMar>
          <w:top w:w="0" w:type="dxa"/>
          <w:left w:w="108" w:type="dxa"/>
          <w:bottom w:w="0" w:type="dxa"/>
          <w:right w:w="108" w:type="dxa"/>
        </w:tblCellMar>
      </w:tblPr>
      <w:tblGrid>
        <w:gridCol w:w="1292"/>
        <w:gridCol w:w="1476"/>
        <w:gridCol w:w="1512"/>
        <w:gridCol w:w="1929"/>
        <w:gridCol w:w="1430"/>
        <w:gridCol w:w="1330"/>
      </w:tblGrid>
      <w:tr>
        <w:tblPrEx>
          <w:tblCellMar>
            <w:top w:w="0" w:type="dxa"/>
            <w:left w:w="108" w:type="dxa"/>
            <w:bottom w:w="0" w:type="dxa"/>
            <w:right w:w="108" w:type="dxa"/>
          </w:tblCellMar>
        </w:tblPrEx>
        <w:trPr>
          <w:trHeight w:val="323" w:hRule="atLeast"/>
          <w:jc w:val="center"/>
        </w:trPr>
        <w:tc>
          <w:tcPr>
            <w:tcW w:w="8969" w:type="dxa"/>
            <w:gridSpan w:val="6"/>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人造石墨  三元体系</w:t>
            </w:r>
          </w:p>
        </w:tc>
      </w:tr>
      <w:tr>
        <w:tblPrEx>
          <w:tblCellMar>
            <w:top w:w="0" w:type="dxa"/>
            <w:left w:w="108" w:type="dxa"/>
            <w:bottom w:w="0" w:type="dxa"/>
            <w:right w:w="108" w:type="dxa"/>
          </w:tblCellMar>
        </w:tblPrEx>
        <w:trPr>
          <w:trHeight w:val="323"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项目</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hint="eastAsia" w:ascii="等线" w:hAnsi="等线" w:eastAsia="等线"/>
                <w:sz w:val="22"/>
                <w:lang w:val="en-US" w:eastAsia="zh-CN"/>
              </w:rPr>
            </w:pPr>
            <w:r>
              <w:rPr>
                <w:rFonts w:hint="eastAsia" w:ascii="等线" w:hAnsi="等线" w:eastAsia="等线"/>
                <w:sz w:val="22"/>
                <w:lang w:val="en-US" w:eastAsia="zh-CN"/>
              </w:rPr>
              <w:t>项目一(长循环</w:t>
            </w:r>
            <w:r>
              <w:rPr>
                <w:rFonts w:hint="eastAsia" w:ascii="等线" w:hAnsi="等线" w:eastAsia="等线"/>
                <w:sz w:val="22"/>
              </w:rPr>
              <w:t>EV</w:t>
            </w:r>
            <w:r>
              <w:rPr>
                <w:rFonts w:hint="eastAsia" w:ascii="等线" w:hAnsi="等线" w:eastAsia="等线"/>
                <w:sz w:val="22"/>
                <w:lang w:val="en-US" w:eastAsia="zh-CN"/>
              </w:rPr>
              <w:t>)</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hint="eastAsia" w:ascii="等线" w:hAnsi="等线" w:eastAsia="等线"/>
                <w:sz w:val="22"/>
                <w:lang w:val="en-US" w:eastAsia="zh-CN"/>
              </w:rPr>
            </w:pPr>
            <w:r>
              <w:rPr>
                <w:rFonts w:hint="eastAsia" w:ascii="等线" w:hAnsi="等线" w:eastAsia="等线"/>
                <w:sz w:val="22"/>
                <w:lang w:val="en-US" w:eastAsia="zh-CN"/>
              </w:rPr>
              <w:t>项目二（短循环</w:t>
            </w:r>
            <w:r>
              <w:rPr>
                <w:rFonts w:hint="eastAsia" w:ascii="等线" w:hAnsi="等线" w:eastAsia="等线"/>
                <w:sz w:val="22"/>
              </w:rPr>
              <w:t>EV</w:t>
            </w:r>
            <w:r>
              <w:rPr>
                <w:rFonts w:hint="eastAsia" w:ascii="等线" w:hAnsi="等线" w:eastAsia="等线"/>
                <w:sz w:val="22"/>
                <w:lang w:val="en-US" w:eastAsia="zh-CN"/>
              </w:rPr>
              <w:t>)</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hint="eastAsia" w:ascii="等线" w:hAnsi="等线" w:eastAsia="等线"/>
                <w:sz w:val="22"/>
                <w:lang w:eastAsia="zh-CN"/>
              </w:rPr>
            </w:pPr>
            <w:r>
              <w:rPr>
                <w:rFonts w:hint="eastAsia" w:ascii="等线" w:hAnsi="等线" w:eastAsia="等线"/>
                <w:sz w:val="22"/>
                <w:lang w:val="en-US" w:eastAsia="zh-CN"/>
              </w:rPr>
              <w:t>项目三（</w:t>
            </w:r>
            <w:r>
              <w:rPr>
                <w:rFonts w:hint="eastAsia" w:ascii="等线" w:hAnsi="等线" w:eastAsia="等线"/>
                <w:sz w:val="22"/>
              </w:rPr>
              <w:t>PHEV</w:t>
            </w:r>
            <w:r>
              <w:rPr>
                <w:rFonts w:hint="eastAsia" w:ascii="等线" w:hAnsi="等线" w:eastAsia="等线"/>
                <w:sz w:val="22"/>
                <w:lang w:eastAsia="zh-CN"/>
              </w:rPr>
              <w:t>）</w:t>
            </w:r>
          </w:p>
        </w:tc>
        <w:tc>
          <w:tcPr>
            <w:tcW w:w="14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hint="eastAsia" w:ascii="等线" w:hAnsi="等线" w:eastAsia="等线"/>
                <w:sz w:val="22"/>
                <w:lang w:eastAsia="zh-CN"/>
              </w:rPr>
            </w:pPr>
            <w:r>
              <w:rPr>
                <w:rFonts w:hint="eastAsia" w:ascii="等线" w:hAnsi="等线" w:eastAsia="等线"/>
                <w:sz w:val="22"/>
                <w:lang w:val="en-US" w:eastAsia="zh-CN"/>
              </w:rPr>
              <w:t>项目四（高容量</w:t>
            </w:r>
            <w:r>
              <w:rPr>
                <w:rFonts w:hint="eastAsia" w:ascii="等线" w:hAnsi="等线" w:eastAsia="等线"/>
                <w:sz w:val="22"/>
              </w:rPr>
              <w:t>HEV</w:t>
            </w:r>
            <w:r>
              <w:rPr>
                <w:rFonts w:hint="eastAsia" w:ascii="等线" w:hAnsi="等线" w:eastAsia="等线"/>
                <w:sz w:val="22"/>
                <w:lang w:eastAsia="zh-CN"/>
              </w:rPr>
              <w:t>）</w:t>
            </w:r>
          </w:p>
        </w:tc>
        <w:tc>
          <w:tcPr>
            <w:tcW w:w="13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hint="eastAsia" w:ascii="等线" w:hAnsi="等线" w:eastAsia="等线"/>
                <w:sz w:val="22"/>
                <w:lang w:val="en-US" w:eastAsia="zh-CN"/>
              </w:rPr>
            </w:pPr>
            <w:r>
              <w:rPr>
                <w:rFonts w:hint="eastAsia" w:ascii="等线" w:hAnsi="等线" w:eastAsia="等线"/>
                <w:sz w:val="22"/>
                <w:lang w:val="en-US" w:eastAsia="zh-CN"/>
              </w:rPr>
              <w:t>项目五（高容量</w:t>
            </w:r>
            <w:r>
              <w:rPr>
                <w:rFonts w:hint="eastAsia" w:ascii="等线" w:hAnsi="等线" w:eastAsia="等线"/>
                <w:sz w:val="22"/>
              </w:rPr>
              <w:t>HEV</w:t>
            </w:r>
            <w:r>
              <w:rPr>
                <w:rFonts w:hint="eastAsia" w:ascii="等线" w:hAnsi="等线" w:eastAsia="等线"/>
                <w:sz w:val="22"/>
                <w:lang w:eastAsia="zh-CN"/>
              </w:rPr>
              <w:t>）</w:t>
            </w:r>
          </w:p>
        </w:tc>
      </w:tr>
      <w:tr>
        <w:tblPrEx>
          <w:tblCellMar>
            <w:top w:w="0" w:type="dxa"/>
            <w:left w:w="108" w:type="dxa"/>
            <w:bottom w:w="0" w:type="dxa"/>
            <w:right w:w="108" w:type="dxa"/>
          </w:tblCellMar>
        </w:tblPrEx>
        <w:trPr>
          <w:trHeight w:val="9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容量</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≥355</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≥355</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≥345</w:t>
            </w:r>
          </w:p>
        </w:tc>
        <w:tc>
          <w:tcPr>
            <w:tcW w:w="14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≥300</w:t>
            </w:r>
          </w:p>
        </w:tc>
        <w:tc>
          <w:tcPr>
            <w:tcW w:w="13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260-280</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石墨化</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≥93</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≥93</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≥93</w:t>
            </w:r>
          </w:p>
        </w:tc>
        <w:tc>
          <w:tcPr>
            <w:tcW w:w="14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≤91、≥85</w:t>
            </w:r>
          </w:p>
        </w:tc>
        <w:tc>
          <w:tcPr>
            <w:tcW w:w="13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≥75、≤85</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首次效率</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≥92</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≥92</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≥90</w:t>
            </w:r>
          </w:p>
        </w:tc>
        <w:tc>
          <w:tcPr>
            <w:tcW w:w="14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≥90</w:t>
            </w:r>
          </w:p>
        </w:tc>
        <w:tc>
          <w:tcPr>
            <w:tcW w:w="13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ascii="等线" w:hAnsi="等线" w:eastAsia="等线"/>
                <w:sz w:val="22"/>
              </w:rPr>
              <w:t>≥</w:t>
            </w:r>
            <w:r>
              <w:rPr>
                <w:rFonts w:hint="eastAsia" w:ascii="等线" w:hAnsi="等线" w:eastAsia="等线"/>
                <w:sz w:val="22"/>
              </w:rPr>
              <w:t>90</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粒度（D50）</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≤20</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≤20</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≤17</w:t>
            </w:r>
          </w:p>
        </w:tc>
        <w:tc>
          <w:tcPr>
            <w:tcW w:w="14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15-20</w:t>
            </w:r>
          </w:p>
        </w:tc>
        <w:tc>
          <w:tcPr>
            <w:tcW w:w="13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6-10</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压实</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≥1.6（烘烤反弹＜7%）</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≥1.6（烘烤反弹＜7%）</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≥1.55（烘烤反弹＜7%）</w:t>
            </w:r>
          </w:p>
        </w:tc>
        <w:tc>
          <w:tcPr>
            <w:tcW w:w="14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≥1.4</w:t>
            </w:r>
          </w:p>
        </w:tc>
        <w:tc>
          <w:tcPr>
            <w:tcW w:w="1330"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ascii="等线" w:hAnsi="等线" w:eastAsia="等线"/>
                <w:sz w:val="22"/>
              </w:rPr>
              <w:t>≥</w:t>
            </w:r>
            <w:r>
              <w:rPr>
                <w:rFonts w:hint="eastAsia" w:ascii="等线" w:hAnsi="等线" w:eastAsia="等线"/>
                <w:sz w:val="22"/>
              </w:rPr>
              <w:t>1.4</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快充倍率</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1-2C</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1-2C</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2-4C</w:t>
            </w:r>
          </w:p>
        </w:tc>
        <w:tc>
          <w:tcPr>
            <w:tcW w:w="2760" w:type="dxa"/>
            <w:gridSpan w:val="2"/>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10C</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循环</w:t>
            </w:r>
          </w:p>
        </w:tc>
        <w:tc>
          <w:tcPr>
            <w:tcW w:w="1476"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4500次（1C 25℃）</w:t>
            </w: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2000次（1C 25℃）</w:t>
            </w:r>
          </w:p>
        </w:tc>
        <w:tc>
          <w:tcPr>
            <w:tcW w:w="1929"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5000次（2C 25℃）</w:t>
            </w:r>
          </w:p>
        </w:tc>
        <w:tc>
          <w:tcPr>
            <w:tcW w:w="2760" w:type="dxa"/>
            <w:gridSpan w:val="2"/>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2000次（4C 45℃）</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量产情况</w:t>
            </w:r>
          </w:p>
        </w:tc>
        <w:tc>
          <w:tcPr>
            <w:tcW w:w="7677" w:type="dxa"/>
            <w:gridSpan w:val="5"/>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ascii="等线" w:hAnsi="等线" w:eastAsia="等线"/>
                <w:sz w:val="22"/>
              </w:rPr>
              <w:t>小试</w:t>
            </w:r>
            <w:r>
              <w:rPr>
                <w:rFonts w:hint="eastAsia" w:ascii="等线" w:hAnsi="等线" w:eastAsia="等线"/>
                <w:sz w:val="22"/>
              </w:rPr>
              <w:t>、</w:t>
            </w:r>
            <w:r>
              <w:rPr>
                <w:rFonts w:ascii="等线" w:hAnsi="等线" w:eastAsia="等线"/>
                <w:sz w:val="22"/>
              </w:rPr>
              <w:t>中试</w:t>
            </w:r>
            <w:r>
              <w:rPr>
                <w:rFonts w:hint="eastAsia" w:ascii="等线" w:hAnsi="等线" w:eastAsia="等线"/>
                <w:sz w:val="22"/>
              </w:rPr>
              <w:t>、</w:t>
            </w:r>
            <w:r>
              <w:rPr>
                <w:rFonts w:ascii="等线" w:hAnsi="等线" w:eastAsia="等线"/>
                <w:sz w:val="22"/>
              </w:rPr>
              <w:t>量产</w:t>
            </w:r>
          </w:p>
        </w:tc>
      </w:tr>
      <w:tr>
        <w:tblPrEx>
          <w:tblCellMar>
            <w:top w:w="0" w:type="dxa"/>
            <w:left w:w="108" w:type="dxa"/>
            <w:bottom w:w="0" w:type="dxa"/>
            <w:right w:w="108" w:type="dxa"/>
          </w:tblCellMar>
        </w:tblPrEx>
        <w:trPr>
          <w:trHeight w:val="250" w:hRule="atLeast"/>
          <w:jc w:val="center"/>
        </w:trPr>
        <w:tc>
          <w:tcPr>
            <w:tcW w:w="1292" w:type="dxa"/>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情况简介</w:t>
            </w:r>
          </w:p>
        </w:tc>
        <w:tc>
          <w:tcPr>
            <w:tcW w:w="7677" w:type="dxa"/>
            <w:gridSpan w:val="5"/>
            <w:tcBorders>
              <w:top w:val="single" w:color="auto" w:sz="6" w:space="0"/>
              <w:left w:val="single" w:color="auto" w:sz="6" w:space="0"/>
              <w:bottom w:val="single" w:color="auto" w:sz="6" w:space="0"/>
              <w:right w:val="single" w:color="auto" w:sz="6" w:space="0"/>
            </w:tcBorders>
          </w:tcPr>
          <w:p>
            <w:pPr>
              <w:autoSpaceDE w:val="0"/>
              <w:autoSpaceDN w:val="0"/>
              <w:jc w:val="center"/>
              <w:rPr>
                <w:rFonts w:ascii="等线" w:hAnsi="等线" w:eastAsia="等线"/>
                <w:sz w:val="22"/>
              </w:rPr>
            </w:pPr>
            <w:r>
              <w:rPr>
                <w:rFonts w:hint="eastAsia" w:ascii="等线" w:hAnsi="等线" w:eastAsia="等线"/>
                <w:sz w:val="22"/>
              </w:rPr>
              <w:t>投标材料客户应用情况（性能、出货量）</w:t>
            </w:r>
          </w:p>
        </w:tc>
      </w:tr>
    </w:tbl>
    <w:p>
      <w:pPr>
        <w:overflowPunct w:val="0"/>
        <w:spacing w:line="360" w:lineRule="auto"/>
        <w:jc w:val="both"/>
        <w:outlineLvl w:val="0"/>
        <w:rPr>
          <w:kern w:val="0"/>
          <w:sz w:val="24"/>
          <w:szCs w:val="20"/>
        </w:rPr>
      </w:pPr>
    </w:p>
    <w:tbl>
      <w:tblPr>
        <w:tblStyle w:val="2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9"/>
        <w:gridCol w:w="28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eastAsia="宋体"/>
                <w:szCs w:val="21"/>
                <w:lang w:val="en-US" w:eastAsia="zh-CN"/>
              </w:rPr>
            </w:pPr>
            <w:r>
              <w:rPr>
                <w:rFonts w:hint="eastAsia" w:ascii="等线" w:hAnsi="等线" w:eastAsia="等线"/>
                <w:sz w:val="22"/>
              </w:rPr>
              <w:t xml:space="preserve">人造石墨  </w:t>
            </w:r>
            <w:r>
              <w:rPr>
                <w:rFonts w:hint="eastAsia" w:ascii="等线" w:hAnsi="等线" w:eastAsia="等线"/>
                <w:sz w:val="22"/>
                <w:lang w:val="en-US" w:eastAsia="zh-CN"/>
              </w:rPr>
              <w:t>磷酸铁锂</w:t>
            </w:r>
            <w:r>
              <w:rPr>
                <w:rFonts w:hint="eastAsia" w:ascii="等线" w:hAnsi="等线" w:eastAsia="等线"/>
                <w:sz w:val="22"/>
              </w:rPr>
              <w:t>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eastAsia="宋体"/>
                <w:szCs w:val="21"/>
                <w:lang w:val="en-US" w:eastAsia="zh-CN"/>
              </w:rPr>
            </w:pPr>
            <w:r>
              <w:rPr>
                <w:rFonts w:hint="eastAsia"/>
                <w:szCs w:val="21"/>
                <w:lang w:val="en-US" w:eastAsia="zh-CN"/>
              </w:rPr>
              <w:t>项目一（</w:t>
            </w:r>
            <w:r>
              <w:rPr>
                <w:rFonts w:hint="eastAsia"/>
                <w:kern w:val="0"/>
                <w:sz w:val="24"/>
              </w:rPr>
              <w:t>常规系列</w:t>
            </w:r>
            <w:r>
              <w:rPr>
                <w:rFonts w:hint="eastAsia"/>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项目</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指标</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极片压实密度</w:t>
            </w:r>
            <w:r>
              <w:rPr>
                <w:kern w:val="0"/>
                <w:szCs w:val="21"/>
              </w:rPr>
              <w:t>(g/cm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≥1.50</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振实密度(g/cm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1.1±0.1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比表面积( m</w:t>
            </w:r>
            <w:r>
              <w:rPr>
                <w:kern w:val="0"/>
                <w:szCs w:val="21"/>
                <w:vertAlign w:val="superscript"/>
              </w:rPr>
              <w:t>2</w:t>
            </w:r>
            <w:r>
              <w:rPr>
                <w:kern w:val="0"/>
                <w:szCs w:val="21"/>
              </w:rPr>
              <w:t>/g)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1.5±0.5</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灰分(%)</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8" w:type="dxa"/>
            <w:vMerge w:val="restart"/>
            <w:tcBorders>
              <w:top w:val="single" w:color="auto" w:sz="4" w:space="0"/>
              <w:left w:val="single" w:color="auto" w:sz="4" w:space="0"/>
              <w:right w:val="single" w:color="auto" w:sz="4" w:space="0"/>
            </w:tcBorders>
            <w:vAlign w:val="center"/>
          </w:tcPr>
          <w:p>
            <w:pPr>
              <w:jc w:val="center"/>
              <w:outlineLvl w:val="0"/>
              <w:rPr>
                <w:szCs w:val="21"/>
              </w:rPr>
            </w:pPr>
            <w:r>
              <w:rPr>
                <w:kern w:val="0"/>
                <w:szCs w:val="21"/>
              </w:rPr>
              <w:t>粒度*(μm)</w:t>
            </w:r>
          </w:p>
        </w:tc>
        <w:tc>
          <w:tcPr>
            <w:tcW w:w="1849" w:type="dxa"/>
            <w:vAlign w:val="center"/>
          </w:tcPr>
          <w:p>
            <w:pPr>
              <w:jc w:val="center"/>
              <w:rPr>
                <w:kern w:val="0"/>
                <w:szCs w:val="21"/>
              </w:rPr>
            </w:pPr>
            <w:r>
              <w:rPr>
                <w:kern w:val="0"/>
                <w:szCs w:val="21"/>
              </w:rPr>
              <w:t>D10</w:t>
            </w:r>
          </w:p>
        </w:tc>
        <w:tc>
          <w:tcPr>
            <w:tcW w:w="2829" w:type="dxa"/>
            <w:vAlign w:val="center"/>
          </w:tcPr>
          <w:p>
            <w:pPr>
              <w:jc w:val="center"/>
              <w:rPr>
                <w:kern w:val="0"/>
                <w:szCs w:val="21"/>
              </w:rPr>
            </w:pPr>
            <w:r>
              <w:rPr>
                <w:kern w:val="0"/>
                <w:szCs w:val="21"/>
              </w:rPr>
              <w:t>≥6.0</w:t>
            </w:r>
          </w:p>
        </w:tc>
        <w:tc>
          <w:tcPr>
            <w:tcW w:w="2835" w:type="dxa"/>
            <w:vMerge w:val="restart"/>
            <w:tcBorders>
              <w:top w:val="single" w:color="auto" w:sz="4" w:space="0"/>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D50</w:t>
            </w:r>
          </w:p>
        </w:tc>
        <w:tc>
          <w:tcPr>
            <w:tcW w:w="2829" w:type="dxa"/>
            <w:vAlign w:val="center"/>
          </w:tcPr>
          <w:p>
            <w:pPr>
              <w:jc w:val="center"/>
              <w:rPr>
                <w:kern w:val="0"/>
                <w:szCs w:val="21"/>
              </w:rPr>
            </w:pPr>
            <w:r>
              <w:rPr>
                <w:kern w:val="0"/>
                <w:szCs w:val="21"/>
              </w:rPr>
              <w:t>16±2</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D90</w:t>
            </w:r>
          </w:p>
        </w:tc>
        <w:tc>
          <w:tcPr>
            <w:tcW w:w="2829" w:type="dxa"/>
            <w:vAlign w:val="center"/>
          </w:tcPr>
          <w:p>
            <w:pPr>
              <w:jc w:val="center"/>
              <w:rPr>
                <w:kern w:val="0"/>
                <w:szCs w:val="21"/>
              </w:rPr>
            </w:pPr>
            <w:r>
              <w:rPr>
                <w:kern w:val="0"/>
                <w:szCs w:val="21"/>
              </w:rPr>
              <w:t>≤36</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8" w:type="dxa"/>
            <w:vMerge w:val="continue"/>
            <w:tcBorders>
              <w:left w:val="single" w:color="auto" w:sz="4" w:space="0"/>
              <w:bottom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Dmax</w:t>
            </w:r>
          </w:p>
        </w:tc>
        <w:tc>
          <w:tcPr>
            <w:tcW w:w="2829" w:type="dxa"/>
            <w:vAlign w:val="center"/>
          </w:tcPr>
          <w:p>
            <w:pPr>
              <w:jc w:val="center"/>
              <w:rPr>
                <w:kern w:val="0"/>
                <w:szCs w:val="21"/>
              </w:rPr>
            </w:pPr>
            <w:r>
              <w:rPr>
                <w:kern w:val="0"/>
                <w:szCs w:val="21"/>
              </w:rPr>
              <w:t>≤60</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≥340</w:t>
            </w:r>
          </w:p>
        </w:tc>
        <w:tc>
          <w:tcPr>
            <w:tcW w:w="2835" w:type="dxa"/>
            <w:vMerge w:val="restart"/>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扣式半电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首次效率(%)</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≥92</w:t>
            </w:r>
          </w:p>
        </w:tc>
        <w:tc>
          <w:tcPr>
            <w:tcW w:w="2835" w:type="dxa"/>
            <w:vMerge w:val="continue"/>
            <w:tcBorders>
              <w:left w:val="single" w:color="auto" w:sz="4" w:space="0"/>
              <w:bottom w:val="single" w:color="auto" w:sz="4" w:space="0"/>
              <w:right w:val="single" w:color="auto" w:sz="4" w:space="0"/>
            </w:tcBorders>
            <w:vAlign w:val="center"/>
          </w:tcPr>
          <w:p>
            <w:pPr>
              <w:jc w:val="center"/>
              <w:rPr>
                <w:szCs w:val="21"/>
              </w:rPr>
            </w:pPr>
          </w:p>
        </w:tc>
      </w:tr>
    </w:tbl>
    <w:p>
      <w:pPr>
        <w:overflowPunct w:val="0"/>
        <w:spacing w:line="360" w:lineRule="auto"/>
        <w:jc w:val="both"/>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tbl>
      <w:tblPr>
        <w:tblStyle w:val="2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9"/>
        <w:gridCol w:w="28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szCs w:val="21"/>
              </w:rPr>
            </w:pPr>
            <w:r>
              <w:rPr>
                <w:rFonts w:hint="eastAsia" w:ascii="等线" w:hAnsi="等线" w:eastAsia="等线"/>
                <w:sz w:val="22"/>
              </w:rPr>
              <w:t xml:space="preserve">人造石墨  </w:t>
            </w:r>
            <w:r>
              <w:rPr>
                <w:rFonts w:hint="eastAsia" w:ascii="等线" w:hAnsi="等线" w:eastAsia="等线"/>
                <w:sz w:val="22"/>
                <w:lang w:val="en-US" w:eastAsia="zh-CN"/>
              </w:rPr>
              <w:t>磷酸铁锂</w:t>
            </w:r>
            <w:r>
              <w:rPr>
                <w:rFonts w:hint="eastAsia" w:ascii="等线" w:hAnsi="等线" w:eastAsia="等线"/>
                <w:sz w:val="22"/>
              </w:rPr>
              <w:t>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eastAsia="宋体"/>
                <w:szCs w:val="21"/>
                <w:lang w:val="en-US" w:eastAsia="zh-CN"/>
              </w:rPr>
            </w:pPr>
            <w:r>
              <w:rPr>
                <w:rFonts w:hint="eastAsia"/>
                <w:szCs w:val="21"/>
                <w:lang w:val="en-US" w:eastAsia="zh-CN"/>
              </w:rPr>
              <w:t>项目二（高压实系列）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项目</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指标</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极片压实密度</w:t>
            </w:r>
            <w:r>
              <w:rPr>
                <w:kern w:val="0"/>
                <w:szCs w:val="21"/>
              </w:rPr>
              <w:t>(g/cm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≥1.60</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振实密度(g/cm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≥0.9</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比表面积( m</w:t>
            </w:r>
            <w:r>
              <w:rPr>
                <w:kern w:val="0"/>
                <w:szCs w:val="21"/>
                <w:vertAlign w:val="superscript"/>
              </w:rPr>
              <w:t>2</w:t>
            </w:r>
            <w:r>
              <w:rPr>
                <w:kern w:val="0"/>
                <w:szCs w:val="21"/>
              </w:rPr>
              <w:t>/g)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1.8±0.5</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灰分(%)</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8" w:type="dxa"/>
            <w:vMerge w:val="restart"/>
            <w:tcBorders>
              <w:top w:val="single" w:color="auto" w:sz="4" w:space="0"/>
              <w:left w:val="single" w:color="auto" w:sz="4" w:space="0"/>
              <w:right w:val="single" w:color="auto" w:sz="4" w:space="0"/>
            </w:tcBorders>
            <w:vAlign w:val="center"/>
          </w:tcPr>
          <w:p>
            <w:pPr>
              <w:jc w:val="center"/>
              <w:outlineLvl w:val="0"/>
              <w:rPr>
                <w:szCs w:val="21"/>
              </w:rPr>
            </w:pPr>
            <w:r>
              <w:rPr>
                <w:kern w:val="0"/>
                <w:szCs w:val="21"/>
              </w:rPr>
              <w:t>粒度*(μm)</w:t>
            </w:r>
          </w:p>
        </w:tc>
        <w:tc>
          <w:tcPr>
            <w:tcW w:w="1849" w:type="dxa"/>
            <w:vAlign w:val="center"/>
          </w:tcPr>
          <w:p>
            <w:pPr>
              <w:jc w:val="center"/>
              <w:rPr>
                <w:kern w:val="0"/>
                <w:szCs w:val="21"/>
              </w:rPr>
            </w:pPr>
            <w:r>
              <w:rPr>
                <w:kern w:val="0"/>
                <w:szCs w:val="21"/>
              </w:rPr>
              <w:t>D10</w:t>
            </w:r>
          </w:p>
        </w:tc>
        <w:tc>
          <w:tcPr>
            <w:tcW w:w="2829" w:type="dxa"/>
            <w:vAlign w:val="center"/>
          </w:tcPr>
          <w:p>
            <w:pPr>
              <w:jc w:val="center"/>
              <w:rPr>
                <w:kern w:val="0"/>
                <w:szCs w:val="21"/>
              </w:rPr>
            </w:pPr>
            <w:r>
              <w:rPr>
                <w:kern w:val="0"/>
                <w:szCs w:val="21"/>
              </w:rPr>
              <w:t>≥4.0</w:t>
            </w:r>
          </w:p>
        </w:tc>
        <w:tc>
          <w:tcPr>
            <w:tcW w:w="2835" w:type="dxa"/>
            <w:vMerge w:val="restart"/>
            <w:tcBorders>
              <w:top w:val="single" w:color="auto" w:sz="4" w:space="0"/>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D50</w:t>
            </w:r>
          </w:p>
        </w:tc>
        <w:tc>
          <w:tcPr>
            <w:tcW w:w="2829" w:type="dxa"/>
            <w:vAlign w:val="center"/>
          </w:tcPr>
          <w:p>
            <w:pPr>
              <w:jc w:val="center"/>
              <w:rPr>
                <w:kern w:val="0"/>
                <w:szCs w:val="21"/>
              </w:rPr>
            </w:pPr>
            <w:r>
              <w:rPr>
                <w:kern w:val="0"/>
                <w:szCs w:val="21"/>
              </w:rPr>
              <w:t>12±3</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D90</w:t>
            </w:r>
          </w:p>
        </w:tc>
        <w:tc>
          <w:tcPr>
            <w:tcW w:w="2829" w:type="dxa"/>
            <w:vAlign w:val="center"/>
          </w:tcPr>
          <w:p>
            <w:pPr>
              <w:jc w:val="center"/>
              <w:rPr>
                <w:kern w:val="0"/>
                <w:szCs w:val="21"/>
              </w:rPr>
            </w:pPr>
            <w:r>
              <w:rPr>
                <w:kern w:val="0"/>
                <w:szCs w:val="21"/>
              </w:rPr>
              <w:t>≤30</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8" w:type="dxa"/>
            <w:vMerge w:val="continue"/>
            <w:tcBorders>
              <w:left w:val="single" w:color="auto" w:sz="4" w:space="0"/>
              <w:bottom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Dmax</w:t>
            </w:r>
          </w:p>
        </w:tc>
        <w:tc>
          <w:tcPr>
            <w:tcW w:w="2829" w:type="dxa"/>
            <w:vAlign w:val="center"/>
          </w:tcPr>
          <w:p>
            <w:pPr>
              <w:jc w:val="center"/>
              <w:rPr>
                <w:kern w:val="0"/>
                <w:szCs w:val="21"/>
              </w:rPr>
            </w:pPr>
            <w:r>
              <w:rPr>
                <w:kern w:val="0"/>
                <w:szCs w:val="21"/>
              </w:rPr>
              <w:t>≤60</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≥350</w:t>
            </w:r>
          </w:p>
        </w:tc>
        <w:tc>
          <w:tcPr>
            <w:tcW w:w="2835" w:type="dxa"/>
            <w:vMerge w:val="restart"/>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扣式半电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首次效率(%)</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≥93</w:t>
            </w:r>
          </w:p>
        </w:tc>
        <w:tc>
          <w:tcPr>
            <w:tcW w:w="2835" w:type="dxa"/>
            <w:vMerge w:val="continue"/>
            <w:tcBorders>
              <w:left w:val="single" w:color="auto" w:sz="4" w:space="0"/>
              <w:bottom w:val="single" w:color="auto" w:sz="4" w:space="0"/>
              <w:right w:val="single" w:color="auto" w:sz="4" w:space="0"/>
            </w:tcBorders>
            <w:vAlign w:val="center"/>
          </w:tcPr>
          <w:p>
            <w:pPr>
              <w:jc w:val="center"/>
              <w:rPr>
                <w:szCs w:val="21"/>
              </w:rPr>
            </w:pPr>
          </w:p>
        </w:tc>
      </w:tr>
    </w:tbl>
    <w:p>
      <w:pPr>
        <w:overflowPunct w:val="0"/>
        <w:spacing w:line="360" w:lineRule="auto"/>
        <w:jc w:val="both"/>
        <w:outlineLvl w:val="0"/>
        <w:rPr>
          <w:kern w:val="0"/>
          <w:sz w:val="24"/>
          <w:szCs w:val="20"/>
        </w:rPr>
      </w:pPr>
    </w:p>
    <w:tbl>
      <w:tblPr>
        <w:tblStyle w:val="2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9"/>
        <w:gridCol w:w="282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szCs w:val="21"/>
              </w:rPr>
            </w:pPr>
            <w:r>
              <w:rPr>
                <w:rFonts w:hint="eastAsia" w:ascii="等线" w:hAnsi="等线" w:eastAsia="等线"/>
                <w:sz w:val="22"/>
              </w:rPr>
              <w:t xml:space="preserve">人造石墨  </w:t>
            </w:r>
            <w:r>
              <w:rPr>
                <w:rFonts w:hint="eastAsia" w:ascii="等线" w:hAnsi="等线" w:eastAsia="等线"/>
                <w:sz w:val="22"/>
                <w:lang w:val="en-US" w:eastAsia="zh-CN"/>
              </w:rPr>
              <w:t>磷酸铁锂</w:t>
            </w:r>
            <w:r>
              <w:rPr>
                <w:rFonts w:hint="eastAsia" w:ascii="等线" w:hAnsi="等线" w:eastAsia="等线"/>
                <w:sz w:val="22"/>
              </w:rPr>
              <w:t>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931" w:type="dxa"/>
            <w:gridSpan w:val="4"/>
            <w:tcBorders>
              <w:top w:val="single" w:color="auto" w:sz="4" w:space="0"/>
              <w:left w:val="single" w:color="auto" w:sz="4" w:space="0"/>
              <w:bottom w:val="single" w:color="auto" w:sz="4" w:space="0"/>
              <w:right w:val="single" w:color="auto" w:sz="4" w:space="0"/>
            </w:tcBorders>
            <w:vAlign w:val="center"/>
          </w:tcPr>
          <w:p>
            <w:pPr>
              <w:jc w:val="center"/>
              <w:outlineLvl w:val="0"/>
              <w:rPr>
                <w:rFonts w:hint="default" w:eastAsia="宋体"/>
                <w:szCs w:val="21"/>
                <w:lang w:val="en-US" w:eastAsia="zh-CN"/>
              </w:rPr>
            </w:pPr>
            <w:r>
              <w:rPr>
                <w:rFonts w:hint="eastAsia"/>
                <w:szCs w:val="21"/>
                <w:lang w:val="en-US" w:eastAsia="zh-CN"/>
              </w:rPr>
              <w:t>项目三（低成本系列）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项目</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指标</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极片压实密度</w:t>
            </w:r>
            <w:r>
              <w:rPr>
                <w:kern w:val="0"/>
                <w:szCs w:val="21"/>
              </w:rPr>
              <w:t>(g/cm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≥1.50</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振实密度(g/cm</w:t>
            </w:r>
            <w:r>
              <w:rPr>
                <w:kern w:val="0"/>
                <w:szCs w:val="21"/>
                <w:vertAlign w:val="superscript"/>
              </w:rPr>
              <w:t>3</w:t>
            </w:r>
            <w:r>
              <w:rPr>
                <w:kern w:val="0"/>
                <w:szCs w:val="21"/>
              </w:rPr>
              <w:t>)</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≥0.9</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比表面积( m</w:t>
            </w:r>
            <w:r>
              <w:rPr>
                <w:kern w:val="0"/>
                <w:szCs w:val="21"/>
                <w:vertAlign w:val="superscript"/>
              </w:rPr>
              <w:t>2</w:t>
            </w:r>
            <w:r>
              <w:rPr>
                <w:kern w:val="0"/>
                <w:szCs w:val="21"/>
              </w:rPr>
              <w:t>/g)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1.8±0.5</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灰分(%)</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18" w:type="dxa"/>
            <w:vMerge w:val="restart"/>
            <w:tcBorders>
              <w:top w:val="single" w:color="auto" w:sz="4" w:space="0"/>
              <w:left w:val="single" w:color="auto" w:sz="4" w:space="0"/>
              <w:right w:val="single" w:color="auto" w:sz="4" w:space="0"/>
            </w:tcBorders>
            <w:vAlign w:val="center"/>
          </w:tcPr>
          <w:p>
            <w:pPr>
              <w:jc w:val="center"/>
              <w:outlineLvl w:val="0"/>
              <w:rPr>
                <w:szCs w:val="21"/>
              </w:rPr>
            </w:pPr>
            <w:r>
              <w:rPr>
                <w:kern w:val="0"/>
                <w:szCs w:val="21"/>
              </w:rPr>
              <w:t>粒度*(μm)</w:t>
            </w:r>
          </w:p>
        </w:tc>
        <w:tc>
          <w:tcPr>
            <w:tcW w:w="1849" w:type="dxa"/>
            <w:vAlign w:val="center"/>
          </w:tcPr>
          <w:p>
            <w:pPr>
              <w:jc w:val="center"/>
              <w:rPr>
                <w:kern w:val="0"/>
                <w:szCs w:val="21"/>
              </w:rPr>
            </w:pPr>
            <w:r>
              <w:rPr>
                <w:kern w:val="0"/>
                <w:szCs w:val="21"/>
              </w:rPr>
              <w:t>D10</w:t>
            </w:r>
          </w:p>
        </w:tc>
        <w:tc>
          <w:tcPr>
            <w:tcW w:w="2829" w:type="dxa"/>
            <w:vAlign w:val="center"/>
          </w:tcPr>
          <w:p>
            <w:pPr>
              <w:jc w:val="center"/>
              <w:rPr>
                <w:kern w:val="0"/>
                <w:szCs w:val="21"/>
              </w:rPr>
            </w:pPr>
            <w:r>
              <w:rPr>
                <w:kern w:val="0"/>
                <w:szCs w:val="21"/>
              </w:rPr>
              <w:t>≥5.0</w:t>
            </w:r>
          </w:p>
        </w:tc>
        <w:tc>
          <w:tcPr>
            <w:tcW w:w="2835" w:type="dxa"/>
            <w:vMerge w:val="restart"/>
            <w:tcBorders>
              <w:top w:val="single" w:color="auto" w:sz="4" w:space="0"/>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D50</w:t>
            </w:r>
          </w:p>
        </w:tc>
        <w:tc>
          <w:tcPr>
            <w:tcW w:w="2829" w:type="dxa"/>
            <w:vAlign w:val="center"/>
          </w:tcPr>
          <w:p>
            <w:pPr>
              <w:jc w:val="center"/>
              <w:rPr>
                <w:kern w:val="0"/>
                <w:szCs w:val="21"/>
              </w:rPr>
            </w:pPr>
            <w:r>
              <w:rPr>
                <w:kern w:val="0"/>
                <w:szCs w:val="21"/>
              </w:rPr>
              <w:t>14~17</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418" w:type="dxa"/>
            <w:vMerge w:val="continue"/>
            <w:tcBorders>
              <w:left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D90</w:t>
            </w:r>
          </w:p>
        </w:tc>
        <w:tc>
          <w:tcPr>
            <w:tcW w:w="2829" w:type="dxa"/>
            <w:vAlign w:val="center"/>
          </w:tcPr>
          <w:p>
            <w:pPr>
              <w:jc w:val="center"/>
              <w:rPr>
                <w:kern w:val="0"/>
                <w:szCs w:val="21"/>
              </w:rPr>
            </w:pPr>
            <w:r>
              <w:rPr>
                <w:kern w:val="0"/>
                <w:szCs w:val="21"/>
              </w:rPr>
              <w:t>≤35</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418" w:type="dxa"/>
            <w:vMerge w:val="continue"/>
            <w:tcBorders>
              <w:left w:val="single" w:color="auto" w:sz="4" w:space="0"/>
              <w:bottom w:val="single" w:color="auto" w:sz="4" w:space="0"/>
              <w:right w:val="single" w:color="auto" w:sz="4" w:space="0"/>
            </w:tcBorders>
            <w:vAlign w:val="center"/>
          </w:tcPr>
          <w:p>
            <w:pPr>
              <w:jc w:val="center"/>
              <w:outlineLvl w:val="0"/>
              <w:rPr>
                <w:szCs w:val="21"/>
              </w:rPr>
            </w:pPr>
          </w:p>
        </w:tc>
        <w:tc>
          <w:tcPr>
            <w:tcW w:w="1849" w:type="dxa"/>
            <w:vAlign w:val="center"/>
          </w:tcPr>
          <w:p>
            <w:pPr>
              <w:jc w:val="center"/>
              <w:rPr>
                <w:kern w:val="0"/>
                <w:szCs w:val="21"/>
              </w:rPr>
            </w:pPr>
            <w:r>
              <w:rPr>
                <w:kern w:val="0"/>
                <w:szCs w:val="21"/>
              </w:rPr>
              <w:t>Dmax</w:t>
            </w:r>
          </w:p>
        </w:tc>
        <w:tc>
          <w:tcPr>
            <w:tcW w:w="2829" w:type="dxa"/>
            <w:vAlign w:val="center"/>
          </w:tcPr>
          <w:p>
            <w:pPr>
              <w:jc w:val="center"/>
              <w:rPr>
                <w:kern w:val="0"/>
                <w:szCs w:val="21"/>
              </w:rPr>
            </w:pPr>
            <w:r>
              <w:rPr>
                <w:kern w:val="0"/>
                <w:szCs w:val="21"/>
              </w:rPr>
              <w:t>≤60</w:t>
            </w:r>
          </w:p>
        </w:tc>
        <w:tc>
          <w:tcPr>
            <w:tcW w:w="2835" w:type="dxa"/>
            <w:vMerge w:val="continue"/>
            <w:tcBorders>
              <w:left w:val="single" w:color="auto" w:sz="4" w:space="0"/>
              <w:right w:val="single" w:color="auto" w:sz="4" w:space="0"/>
            </w:tcBorders>
            <w:vAlign w:val="center"/>
          </w:tcPr>
          <w:p>
            <w:pPr>
              <w:jc w:val="center"/>
              <w:outlineLvl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0.1C首次放电比容量（mAh/g）</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≥340</w:t>
            </w:r>
          </w:p>
        </w:tc>
        <w:tc>
          <w:tcPr>
            <w:tcW w:w="2835" w:type="dxa"/>
            <w:vMerge w:val="restart"/>
            <w:tcBorders>
              <w:top w:val="single" w:color="auto" w:sz="4" w:space="0"/>
              <w:left w:val="single" w:color="auto" w:sz="4" w:space="0"/>
              <w:right w:val="single" w:color="auto" w:sz="4" w:space="0"/>
            </w:tcBorders>
            <w:vAlign w:val="center"/>
          </w:tcPr>
          <w:p>
            <w:pPr>
              <w:jc w:val="center"/>
              <w:rPr>
                <w:color w:val="000000"/>
                <w:szCs w:val="21"/>
              </w:rPr>
            </w:pPr>
            <w:r>
              <w:rPr>
                <w:color w:val="000000"/>
                <w:szCs w:val="21"/>
              </w:rPr>
              <w:t>扣式半电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26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首次效率(%)</w:t>
            </w:r>
          </w:p>
        </w:tc>
        <w:tc>
          <w:tcPr>
            <w:tcW w:w="282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≥92</w:t>
            </w:r>
          </w:p>
        </w:tc>
        <w:tc>
          <w:tcPr>
            <w:tcW w:w="2835" w:type="dxa"/>
            <w:vMerge w:val="continue"/>
            <w:tcBorders>
              <w:left w:val="single" w:color="auto" w:sz="4" w:space="0"/>
              <w:bottom w:val="single" w:color="auto" w:sz="4" w:space="0"/>
              <w:right w:val="single" w:color="auto" w:sz="4" w:space="0"/>
            </w:tcBorders>
            <w:vAlign w:val="center"/>
          </w:tcPr>
          <w:p>
            <w:pPr>
              <w:jc w:val="center"/>
              <w:rPr>
                <w:szCs w:val="21"/>
              </w:rPr>
            </w:pPr>
          </w:p>
        </w:tc>
      </w:tr>
      <w:bookmarkEnd w:id="10"/>
      <w:bookmarkEnd w:id="11"/>
      <w:bookmarkEnd w:id="12"/>
    </w:tbl>
    <w:p>
      <w:pPr>
        <w:overflowPunct w:val="0"/>
        <w:spacing w:line="360" w:lineRule="auto"/>
        <w:jc w:val="center"/>
        <w:outlineLvl w:val="0"/>
        <w:rPr>
          <w:rStyle w:val="36"/>
          <w:sz w:val="28"/>
          <w:szCs w:val="28"/>
        </w:rPr>
      </w:pPr>
      <w:r>
        <w:rPr>
          <w:rStyle w:val="36"/>
          <w:rFonts w:hint="eastAsia"/>
          <w:sz w:val="28"/>
          <w:szCs w:val="28"/>
        </w:rPr>
        <w:t>第四章 合同条款要求</w:t>
      </w:r>
    </w:p>
    <w:p>
      <w:pPr>
        <w:adjustRightInd w:val="0"/>
        <w:snapToGrid w:val="0"/>
        <w:spacing w:line="400" w:lineRule="exact"/>
        <w:jc w:val="center"/>
        <w:rPr>
          <w:rFonts w:hint="eastAsia"/>
          <w:b/>
          <w:spacing w:val="4"/>
          <w:sz w:val="36"/>
          <w:szCs w:val="36"/>
        </w:rPr>
      </w:pPr>
    </w:p>
    <w:p>
      <w:pPr>
        <w:adjustRightInd w:val="0"/>
        <w:snapToGrid w:val="0"/>
        <w:spacing w:line="400" w:lineRule="exact"/>
        <w:jc w:val="center"/>
        <w:rPr>
          <w:b/>
          <w:spacing w:val="4"/>
          <w:sz w:val="28"/>
          <w:szCs w:val="28"/>
        </w:rPr>
      </w:pPr>
      <w:r>
        <w:rPr>
          <w:rFonts w:hint="eastAsia"/>
          <w:b/>
          <w:spacing w:val="4"/>
          <w:sz w:val="28"/>
          <w:szCs w:val="28"/>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40"/>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40"/>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tbl>
      <w:tblPr>
        <w:tblStyle w:val="23"/>
        <w:tblpPr w:leftFromText="180" w:rightFromText="180" w:vertAnchor="text" w:horzAnchor="page" w:tblpX="1582" w:tblpY="217"/>
        <w:tblOverlap w:val="never"/>
        <w:tblW w:w="828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80"/>
        <w:gridCol w:w="1450"/>
        <w:gridCol w:w="1580"/>
        <w:gridCol w:w="1554"/>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right"/>
        </w:trPr>
        <w:tc>
          <w:tcPr>
            <w:tcW w:w="84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0" w:type="dxa"/>
          </w:tcPr>
          <w:p>
            <w:pPr>
              <w:widowControl/>
              <w:spacing w:line="400" w:lineRule="exact"/>
              <w:jc w:val="center"/>
              <w:rPr>
                <w:rFonts w:ascii="宋体" w:hAnsi="宋体" w:cs="宋体"/>
                <w:kern w:val="0"/>
                <w:szCs w:val="21"/>
              </w:rPr>
            </w:pPr>
            <w:r>
              <w:rPr>
                <w:rFonts w:hint="eastAsia" w:ascii="宋体" w:hAnsi="宋体" w:cs="宋体"/>
                <w:kern w:val="0"/>
                <w:szCs w:val="21"/>
              </w:rPr>
              <w:t>名称</w:t>
            </w:r>
          </w:p>
        </w:tc>
        <w:tc>
          <w:tcPr>
            <w:tcW w:w="1450" w:type="dxa"/>
          </w:tcPr>
          <w:p>
            <w:pPr>
              <w:widowControl/>
              <w:spacing w:line="400" w:lineRule="exact"/>
              <w:jc w:val="center"/>
              <w:rPr>
                <w:rFonts w:ascii="宋体" w:hAnsi="宋体" w:cs="宋体"/>
                <w:kern w:val="0"/>
                <w:szCs w:val="21"/>
              </w:rPr>
            </w:pPr>
            <w:r>
              <w:rPr>
                <w:rFonts w:hint="eastAsia" w:ascii="宋体" w:hAnsi="宋体" w:cs="宋体"/>
                <w:kern w:val="0"/>
                <w:szCs w:val="21"/>
              </w:rPr>
              <w:t>规格</w:t>
            </w:r>
          </w:p>
        </w:tc>
        <w:tc>
          <w:tcPr>
            <w:tcW w:w="1580"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1554"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w:t>
            </w:r>
          </w:p>
        </w:tc>
        <w:tc>
          <w:tcPr>
            <w:tcW w:w="1783"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right"/>
        </w:trPr>
        <w:tc>
          <w:tcPr>
            <w:tcW w:w="840" w:type="dxa"/>
          </w:tcPr>
          <w:p>
            <w:pPr>
              <w:spacing w:line="400" w:lineRule="exact"/>
              <w:jc w:val="center"/>
              <w:rPr>
                <w:rFonts w:ascii="宋体" w:hAnsi="宋体" w:cs="宋体"/>
                <w:szCs w:val="21"/>
              </w:rPr>
            </w:pPr>
            <w:r>
              <w:rPr>
                <w:rFonts w:hint="eastAsia" w:ascii="宋体" w:hAnsi="宋体" w:cs="宋体"/>
                <w:szCs w:val="21"/>
              </w:rPr>
              <w:t>1</w:t>
            </w:r>
          </w:p>
        </w:tc>
        <w:tc>
          <w:tcPr>
            <w:tcW w:w="1080" w:type="dxa"/>
          </w:tcPr>
          <w:p>
            <w:pPr>
              <w:spacing w:line="400" w:lineRule="exact"/>
              <w:jc w:val="center"/>
              <w:rPr>
                <w:rFonts w:ascii="宋体" w:hAnsi="宋体" w:cs="宋体"/>
                <w:szCs w:val="21"/>
              </w:rPr>
            </w:pPr>
          </w:p>
        </w:tc>
        <w:tc>
          <w:tcPr>
            <w:tcW w:w="1450" w:type="dxa"/>
          </w:tcPr>
          <w:p>
            <w:pPr>
              <w:spacing w:line="400" w:lineRule="exact"/>
              <w:jc w:val="center"/>
              <w:rPr>
                <w:rFonts w:ascii="宋体" w:hAnsi="宋体" w:cs="宋体"/>
                <w:szCs w:val="21"/>
              </w:rPr>
            </w:pPr>
          </w:p>
        </w:tc>
        <w:tc>
          <w:tcPr>
            <w:tcW w:w="1580" w:type="dxa"/>
          </w:tcPr>
          <w:p>
            <w:pPr>
              <w:spacing w:line="400" w:lineRule="exact"/>
              <w:jc w:val="center"/>
              <w:rPr>
                <w:rFonts w:ascii="宋体" w:hAnsi="宋体" w:cs="宋体"/>
                <w:szCs w:val="21"/>
              </w:rPr>
            </w:pPr>
          </w:p>
        </w:tc>
        <w:tc>
          <w:tcPr>
            <w:tcW w:w="1554"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1783"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right"/>
        </w:trPr>
        <w:tc>
          <w:tcPr>
            <w:tcW w:w="840" w:type="dxa"/>
          </w:tcPr>
          <w:p>
            <w:pPr>
              <w:spacing w:line="400" w:lineRule="exact"/>
              <w:jc w:val="center"/>
              <w:rPr>
                <w:rFonts w:ascii="宋体" w:hAnsi="宋体" w:cs="宋体"/>
                <w:szCs w:val="21"/>
              </w:rPr>
            </w:pPr>
            <w:r>
              <w:rPr>
                <w:rFonts w:hint="eastAsia" w:ascii="宋体" w:hAnsi="宋体" w:cs="宋体"/>
                <w:szCs w:val="21"/>
              </w:rPr>
              <w:t>2</w:t>
            </w:r>
          </w:p>
        </w:tc>
        <w:tc>
          <w:tcPr>
            <w:tcW w:w="1080" w:type="dxa"/>
          </w:tcPr>
          <w:p>
            <w:pPr>
              <w:spacing w:line="400" w:lineRule="exact"/>
              <w:jc w:val="center"/>
              <w:rPr>
                <w:rFonts w:ascii="宋体" w:hAnsi="宋体" w:cs="宋体"/>
                <w:szCs w:val="21"/>
              </w:rPr>
            </w:pPr>
          </w:p>
        </w:tc>
        <w:tc>
          <w:tcPr>
            <w:tcW w:w="1450" w:type="dxa"/>
          </w:tcPr>
          <w:p>
            <w:pPr>
              <w:spacing w:line="400" w:lineRule="exact"/>
              <w:jc w:val="center"/>
              <w:rPr>
                <w:rFonts w:ascii="宋体" w:hAnsi="宋体" w:cs="宋体"/>
                <w:szCs w:val="21"/>
              </w:rPr>
            </w:pPr>
          </w:p>
        </w:tc>
        <w:tc>
          <w:tcPr>
            <w:tcW w:w="1580" w:type="dxa"/>
          </w:tcPr>
          <w:p>
            <w:pPr>
              <w:spacing w:line="400" w:lineRule="exact"/>
              <w:jc w:val="center"/>
              <w:rPr>
                <w:rFonts w:ascii="宋体" w:hAnsi="宋体" w:cs="宋体"/>
                <w:szCs w:val="21"/>
              </w:rPr>
            </w:pPr>
          </w:p>
        </w:tc>
        <w:tc>
          <w:tcPr>
            <w:tcW w:w="1554" w:type="dxa"/>
            <w:vMerge w:val="continue"/>
          </w:tcPr>
          <w:p>
            <w:pPr>
              <w:spacing w:line="400" w:lineRule="exact"/>
              <w:jc w:val="center"/>
              <w:rPr>
                <w:rFonts w:ascii="宋体" w:hAnsi="宋体" w:cs="宋体"/>
                <w:szCs w:val="21"/>
              </w:rPr>
            </w:pPr>
          </w:p>
        </w:tc>
        <w:tc>
          <w:tcPr>
            <w:tcW w:w="1783" w:type="dxa"/>
          </w:tcPr>
          <w:p>
            <w:pPr>
              <w:autoSpaceDN w:val="0"/>
              <w:spacing w:line="400" w:lineRule="exact"/>
              <w:ind w:left="390"/>
              <w:jc w:val="center"/>
              <w:textAlignment w:val="center"/>
              <w:rPr>
                <w:rFonts w:ascii="宋体" w:hAnsi="宋体" w:cs="宋体"/>
                <w:szCs w:val="21"/>
              </w:rPr>
            </w:pPr>
          </w:p>
        </w:tc>
      </w:tr>
    </w:tbl>
    <w:p>
      <w:pPr>
        <w:spacing w:line="400" w:lineRule="exact"/>
        <w:rPr>
          <w:rFonts w:hint="eastAsia" w:ascii="宋体" w:hAnsi="宋体"/>
          <w:bCs/>
          <w:szCs w:val="21"/>
        </w:rPr>
      </w:pPr>
    </w:p>
    <w:p>
      <w:pPr>
        <w:spacing w:line="400" w:lineRule="exact"/>
        <w:rPr>
          <w:rFonts w:hint="eastAsia" w:ascii="宋体" w:hAnsi="宋体"/>
          <w:bCs/>
          <w:szCs w:val="21"/>
        </w:rPr>
      </w:pP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本协议为固定单价合同，甲方按照实际需求向乙方发出采购订单，乙方确保在采购订单规定的时间内送达产品至甲方指定库房或者指定收货人。</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62" w:name="_Hlk508969622"/>
      <w:r>
        <w:rPr>
          <w:rFonts w:hint="eastAsia" w:ascii="宋体" w:hAnsi="宋体"/>
          <w:szCs w:val="21"/>
        </w:rPr>
        <w:t>采购订单为本协议的有效组成部分，受本协议条款的约束。</w:t>
      </w:r>
      <w:bookmarkEnd w:id="62"/>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adjustRightInd w:val="0"/>
        <w:snapToGrid w:val="0"/>
        <w:spacing w:line="400" w:lineRule="exact"/>
        <w:rPr>
          <w:rFonts w:ascii="宋体" w:hAnsi="宋体"/>
          <w:szCs w:val="21"/>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center"/>
        <w:rPr>
          <w:rStyle w:val="36"/>
          <w:sz w:val="28"/>
          <w:szCs w:val="28"/>
        </w:rPr>
      </w:pPr>
      <w:bookmarkStart w:id="63" w:name="_Toc509411474"/>
      <w:bookmarkStart w:id="64" w:name="_Toc509411554"/>
      <w:bookmarkStart w:id="65" w:name="_Toc509413676"/>
      <w:r>
        <w:rPr>
          <w:rStyle w:val="36"/>
          <w:rFonts w:hint="eastAsia"/>
          <w:sz w:val="28"/>
          <w:szCs w:val="28"/>
        </w:rPr>
        <w:t>第五章 供应商质量基本要求</w:t>
      </w:r>
      <w:bookmarkEnd w:id="63"/>
      <w:bookmarkEnd w:id="64"/>
      <w:bookmarkEnd w:id="65"/>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bookmarkStart w:id="66" w:name="_Toc509411475"/>
      <w:bookmarkStart w:id="67" w:name="_Toc509411555"/>
      <w:r>
        <w:rPr>
          <w:rFonts w:hint="eastAsia" w:ascii="宋体" w:hAnsi="宋体" w:cs="宋体"/>
          <w:color w:val="FF0000"/>
          <w:kern w:val="0"/>
          <w:szCs w:val="21"/>
        </w:rPr>
        <w:t>（具体条款要求见附件9）</w:t>
      </w:r>
      <w:bookmarkEnd w:id="66"/>
      <w:bookmarkEnd w:id="67"/>
    </w:p>
    <w:p/>
    <w:p>
      <w:pPr>
        <w:overflowPunct w:val="0"/>
        <w:spacing w:line="360" w:lineRule="auto"/>
        <w:jc w:val="center"/>
        <w:outlineLvl w:val="0"/>
        <w:rPr>
          <w:rFonts w:ascii="宋体" w:hAnsi="宋体" w:cs="宋体"/>
          <w:color w:val="FF0000"/>
          <w:kern w:val="0"/>
          <w:szCs w:val="21"/>
        </w:rPr>
      </w:pPr>
    </w:p>
    <w:sectPr>
      <w:footerReference r:id="rId7" w:type="default"/>
      <w:pgSz w:w="11906" w:h="16838"/>
      <w:pgMar w:top="1440" w:right="1800" w:bottom="1440" w:left="1800"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- 11 -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- 15 -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2"/>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8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2428E5"/>
    <w:rsid w:val="0F166B1E"/>
    <w:rsid w:val="10256295"/>
    <w:rsid w:val="13D856C0"/>
    <w:rsid w:val="15AC2DD0"/>
    <w:rsid w:val="1E9E2732"/>
    <w:rsid w:val="292054AD"/>
    <w:rsid w:val="2B3702E2"/>
    <w:rsid w:val="3AB77DE7"/>
    <w:rsid w:val="47866BA0"/>
    <w:rsid w:val="48DC278C"/>
    <w:rsid w:val="5704070E"/>
    <w:rsid w:val="61F17EB8"/>
    <w:rsid w:val="63AB33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6" w:lineRule="auto"/>
      <w:outlineLvl w:val="0"/>
    </w:pPr>
    <w:rPr>
      <w:b/>
      <w:kern w:val="44"/>
      <w:sz w:val="44"/>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iPriority w:val="0"/>
    <w:pPr>
      <w:ind w:left="2520" w:leftChars="1200"/>
    </w:pPr>
  </w:style>
  <w:style w:type="paragraph" w:styleId="4">
    <w:name w:val="Normal Indent"/>
    <w:basedOn w:val="1"/>
    <w:uiPriority w:val="0"/>
    <w:pPr>
      <w:adjustRightInd w:val="0"/>
      <w:ind w:firstLine="420"/>
      <w:jc w:val="left"/>
      <w:textAlignment w:val="baseline"/>
    </w:pPr>
    <w:rPr>
      <w:sz w:val="24"/>
    </w:rPr>
  </w:style>
  <w:style w:type="paragraph" w:styleId="5">
    <w:name w:val="annotation text"/>
    <w:basedOn w:val="1"/>
    <w:link w:val="39"/>
    <w:qFormat/>
    <w:uiPriority w:val="99"/>
    <w:pPr>
      <w:jc w:val="left"/>
    </w:pPr>
    <w:rPr>
      <w:szCs w:val="20"/>
    </w:rPr>
  </w:style>
  <w:style w:type="paragraph" w:styleId="6">
    <w:name w:val="Body Text"/>
    <w:basedOn w:val="1"/>
    <w:qFormat/>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4"/>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8"/>
    <w:semiHidden/>
    <w:unhideWhenUsed/>
    <w:qFormat/>
    <w:uiPriority w:val="99"/>
    <w:rPr>
      <w:sz w:val="18"/>
      <w:szCs w:val="18"/>
    </w:rPr>
  </w:style>
  <w:style w:type="paragraph" w:styleId="15">
    <w:name w:val="footer"/>
    <w:basedOn w:val="1"/>
    <w:link w:val="37"/>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3"/>
    <w:qFormat/>
    <w:uiPriority w:val="39"/>
  </w:style>
  <w:style w:type="paragraph" w:styleId="18">
    <w:name w:val="toc 4"/>
    <w:basedOn w:val="1"/>
    <w:next w:val="1"/>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p0"/>
    <w:basedOn w:val="1"/>
    <w:qFormat/>
    <w:uiPriority w:val="0"/>
    <w:pPr>
      <w:widowControl/>
    </w:pPr>
    <w:rPr>
      <w:kern w:val="0"/>
      <w:szCs w:val="21"/>
    </w:rPr>
  </w:style>
  <w:style w:type="paragraph" w:customStyle="1" w:styleId="32">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3">
    <w:name w:val="目录 1 Char"/>
    <w:link w:val="17"/>
    <w:qFormat/>
    <w:uiPriority w:val="0"/>
  </w:style>
  <w:style w:type="character" w:customStyle="1" w:styleId="34">
    <w:name w:val="目录 3 Char"/>
    <w:link w:val="9"/>
    <w:uiPriority w:val="0"/>
  </w:style>
  <w:style w:type="character" w:customStyle="1" w:styleId="35">
    <w:name w:val="black21"/>
    <w:uiPriority w:val="0"/>
    <w:rPr>
      <w:color w:val="000000"/>
      <w:sz w:val="21"/>
      <w:szCs w:val="21"/>
      <w:u w:val="none"/>
    </w:rPr>
  </w:style>
  <w:style w:type="character" w:customStyle="1" w:styleId="36">
    <w:name w:val="标题 1 Char"/>
    <w:link w:val="2"/>
    <w:qFormat/>
    <w:uiPriority w:val="0"/>
    <w:rPr>
      <w:b/>
      <w:kern w:val="44"/>
      <w:sz w:val="44"/>
    </w:rPr>
  </w:style>
  <w:style w:type="character" w:customStyle="1" w:styleId="37">
    <w:name w:val="页脚 Char"/>
    <w:link w:val="15"/>
    <w:qFormat/>
    <w:uiPriority w:val="0"/>
    <w:rPr>
      <w:kern w:val="2"/>
      <w:sz w:val="18"/>
      <w:szCs w:val="18"/>
    </w:rPr>
  </w:style>
  <w:style w:type="character" w:customStyle="1" w:styleId="38">
    <w:name w:val="批注框文本 Char"/>
    <w:link w:val="14"/>
    <w:semiHidden/>
    <w:qFormat/>
    <w:uiPriority w:val="99"/>
    <w:rPr>
      <w:kern w:val="2"/>
      <w:sz w:val="18"/>
      <w:szCs w:val="18"/>
    </w:rPr>
  </w:style>
  <w:style w:type="character" w:customStyle="1" w:styleId="39">
    <w:name w:val="批注文字 Char"/>
    <w:link w:val="5"/>
    <w:qFormat/>
    <w:uiPriority w:val="99"/>
    <w:rPr>
      <w:kern w:val="2"/>
      <w:sz w:val="21"/>
    </w:rPr>
  </w:style>
  <w:style w:type="paragraph" w:styleId="4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1778</Words>
  <Characters>10136</Characters>
  <Lines>84</Lines>
  <Paragraphs>23</Paragraphs>
  <TotalTime>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2020-11-18T08:33:43Z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