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 MGLWL</w:t>
      </w:r>
      <w:r>
        <w:rPr>
          <w:b/>
          <w:bCs/>
          <w:color w:val="170000"/>
          <w:sz w:val="32"/>
        </w:rPr>
        <w:t>20</w:t>
      </w:r>
      <w:r>
        <w:rPr>
          <w:rFonts w:hint="eastAsia"/>
          <w:b/>
          <w:bCs/>
          <w:color w:val="170000"/>
          <w:sz w:val="32"/>
        </w:rPr>
        <w:t>20</w:t>
      </w:r>
      <w:r>
        <w:rPr>
          <w:rFonts w:hint="eastAsia"/>
          <w:b/>
          <w:bCs/>
          <w:color w:val="170000"/>
          <w:sz w:val="32"/>
          <w:lang w:val="en-US" w:eastAsia="zh-CN"/>
        </w:rPr>
        <w:t>1</w:t>
      </w:r>
      <w:r>
        <w:rPr>
          <w:rFonts w:hint="eastAsia"/>
          <w:b/>
          <w:bCs/>
          <w:color w:val="170000"/>
          <w:sz w:val="32"/>
        </w:rPr>
        <w:t>1</w:t>
      </w:r>
      <w:r>
        <w:rPr>
          <w:rFonts w:hint="eastAsia"/>
          <w:b/>
          <w:bCs/>
          <w:color w:val="170000"/>
          <w:sz w:val="32"/>
          <w:lang w:val="en-US" w:eastAsia="zh-CN"/>
        </w:rPr>
        <w:t>16</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pgNumType w:start="1"/>
          <w:cols w:space="720" w:num="1"/>
          <w:docGrid w:type="lines" w:linePitch="312" w:charSpace="0"/>
        </w:sectPr>
      </w:pPr>
      <w:r>
        <w:rPr>
          <w:rFonts w:hint="eastAsia"/>
          <w:sz w:val="36"/>
          <w:szCs w:val="36"/>
        </w:rPr>
        <w:t>2020年1</w:t>
      </w:r>
      <w:r>
        <w:rPr>
          <w:rFonts w:hint="eastAsia"/>
          <w:sz w:val="36"/>
          <w:szCs w:val="36"/>
          <w:lang w:val="en-US" w:eastAsia="zh-CN"/>
        </w:rPr>
        <w:t>1</w:t>
      </w:r>
      <w:r>
        <w:rPr>
          <w:rFonts w:hint="eastAsia"/>
          <w:sz w:val="36"/>
          <w:szCs w:val="36"/>
        </w:rPr>
        <w:t>月</w:t>
      </w:r>
      <w:r>
        <w:rPr>
          <w:rFonts w:hint="eastAsia"/>
          <w:sz w:val="28"/>
        </w:rPr>
        <w:t xml:space="preserve"> </w:t>
      </w:r>
    </w:p>
    <w:p>
      <w:pPr>
        <w:pStyle w:val="30"/>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HYPERLINK  \l "_Toc509413672" </w:instrText>
      </w:r>
      <w:r>
        <w:fldChar w:fldCharType="separate"/>
      </w:r>
      <w:r>
        <w:rPr>
          <w:rStyle w:val="26"/>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"_Toc509413673" </w:instrText>
      </w:r>
      <w:r>
        <w:fldChar w:fldCharType="separate"/>
      </w:r>
      <w:r>
        <w:rPr>
          <w:rStyle w:val="26"/>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xml:space="preserve">- </w:t>
      </w:r>
      <w:r>
        <w:rPr>
          <w:rFonts w:hint="eastAsia"/>
          <w:b/>
          <w:bCs/>
          <w:color w:val="0000FF"/>
          <w:sz w:val="24"/>
        </w:rPr>
        <w:t>5</w:t>
      </w:r>
      <w:r>
        <w:rPr>
          <w:b/>
          <w:bCs/>
          <w:color w:val="0000FF"/>
          <w:sz w:val="24"/>
        </w:rPr>
        <w:t>-</w:t>
      </w:r>
      <w:r>
        <w:rPr>
          <w:b/>
          <w:bCs/>
          <w:color w:val="0000FF"/>
          <w:sz w:val="24"/>
        </w:rPr>
        <w:fldChar w:fldCharType="end"/>
      </w:r>
      <w:r>
        <w:fldChar w:fldCharType="end"/>
      </w:r>
    </w:p>
    <w:p>
      <w:pPr>
        <w:pStyle w:val="17"/>
        <w:tabs>
          <w:tab w:val="right" w:leader="dot" w:pos="8296"/>
        </w:tabs>
        <w:rPr>
          <w:rStyle w:val="26"/>
          <w:b/>
          <w:bCs/>
          <w:sz w:val="24"/>
        </w:rPr>
      </w:pPr>
      <w:r>
        <w:rPr>
          <w:b/>
          <w:bCs/>
          <w:color w:val="0000FF"/>
        </w:rPr>
        <w:fldChar w:fldCharType="begin"/>
      </w:r>
      <w:r>
        <w:rPr>
          <w:b/>
          <w:bCs/>
          <w:color w:val="0000FF"/>
        </w:rPr>
        <w:instrText xml:space="preserve">HYPERLINK  \l "_Toc509413674" </w:instrText>
      </w:r>
      <w:r>
        <w:rPr>
          <w:b/>
          <w:bCs/>
          <w:color w:val="0000FF"/>
        </w:rPr>
        <w:fldChar w:fldCharType="separate"/>
      </w:r>
      <w:r>
        <w:rPr>
          <w:rStyle w:val="26"/>
          <w:b/>
          <w:bCs/>
          <w:sz w:val="24"/>
        </w:rPr>
        <w:t xml:space="preserve">第二章 </w:t>
      </w:r>
      <w:r>
        <w:fldChar w:fldCharType="begin"/>
      </w:r>
      <w:r>
        <w:instrText xml:space="preserve">HYPERLINK  \l "_Toc28249" </w:instrText>
      </w:r>
      <w:r>
        <w:fldChar w:fldCharType="separate"/>
      </w:r>
      <w:r>
        <w:rPr>
          <w:rFonts w:hint="eastAsia"/>
          <w:b/>
          <w:bCs/>
          <w:color w:val="0000FF"/>
          <w:szCs w:val="28"/>
        </w:rPr>
        <w:t>投标格式文件</w:t>
      </w:r>
      <w:r>
        <w:rPr>
          <w:b/>
          <w:bCs/>
          <w:color w:val="0000FF"/>
        </w:rPr>
        <w:tab/>
      </w:r>
      <w:r>
        <w:fldChar w:fldCharType="end"/>
      </w:r>
      <w:r>
        <w:rPr>
          <w:b/>
          <w:bCs/>
          <w:color w:val="0000FF"/>
        </w:rPr>
        <w:fldChar w:fldCharType="begin"/>
      </w:r>
      <w:r>
        <w:rPr>
          <w:b/>
          <w:bCs/>
          <w:color w:val="0000FF"/>
        </w:rPr>
        <w:instrText xml:space="preserve"> PAGEREF _Toc32686 </w:instrText>
      </w:r>
      <w:r>
        <w:rPr>
          <w:b/>
          <w:bCs/>
          <w:color w:val="0000FF"/>
        </w:rPr>
        <w:fldChar w:fldCharType="separate"/>
      </w:r>
      <w:r>
        <w:rPr>
          <w:b/>
          <w:bCs/>
          <w:color w:val="0000FF"/>
        </w:rPr>
        <w:t xml:space="preserve">- </w:t>
      </w:r>
      <w:r>
        <w:rPr>
          <w:rFonts w:hint="eastAsia"/>
          <w:b/>
          <w:bCs/>
          <w:color w:val="0000FF"/>
        </w:rPr>
        <w:t>12</w:t>
      </w:r>
      <w:r>
        <w:rPr>
          <w:b/>
          <w:bCs/>
          <w:color w:val="0000FF"/>
        </w:rPr>
        <w:t xml:space="preserve"> -</w:t>
      </w:r>
      <w:r>
        <w:rPr>
          <w:b/>
          <w:bCs/>
          <w:color w:val="0000FF"/>
        </w:rPr>
        <w:fldChar w:fldCharType="end"/>
      </w:r>
    </w:p>
    <w:p>
      <w:pPr>
        <w:pStyle w:val="17"/>
        <w:tabs>
          <w:tab w:val="right" w:leader="dot" w:pos="8296"/>
        </w:tabs>
        <w:rPr>
          <w:rFonts w:ascii="Calibri" w:hAnsi="Calibri" w:cs="黑体"/>
          <w:b/>
          <w:bCs/>
          <w:color w:val="0000FF"/>
          <w:sz w:val="24"/>
        </w:rPr>
      </w:pPr>
      <w:r>
        <w:rPr>
          <w:rStyle w:val="26"/>
          <w:rFonts w:hint="eastAsia"/>
          <w:b/>
          <w:bCs/>
          <w:sz w:val="24"/>
        </w:rPr>
        <w:t xml:space="preserve">第三章 </w:t>
      </w:r>
      <w:r>
        <w:rPr>
          <w:rStyle w:val="26"/>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xml:space="preserve">- </w:t>
      </w:r>
      <w:r>
        <w:rPr>
          <w:rFonts w:hint="eastAsia"/>
          <w:b/>
          <w:bCs/>
          <w:color w:val="0000FF"/>
          <w:sz w:val="24"/>
        </w:rPr>
        <w:t>13</w:t>
      </w:r>
      <w:r>
        <w:rPr>
          <w:b/>
          <w:bCs/>
          <w:color w:val="0000FF"/>
          <w:sz w:val="24"/>
        </w:rPr>
        <w:t>-</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"_Toc509413675" </w:instrText>
      </w:r>
      <w:r>
        <w:fldChar w:fldCharType="separate"/>
      </w:r>
      <w:r>
        <w:rPr>
          <w:rStyle w:val="26"/>
          <w:b/>
          <w:bCs/>
          <w:kern w:val="44"/>
          <w:sz w:val="24"/>
        </w:rPr>
        <w:t>第</w:t>
      </w:r>
      <w:r>
        <w:rPr>
          <w:rStyle w:val="26"/>
          <w:rFonts w:hint="eastAsia"/>
          <w:b/>
          <w:bCs/>
          <w:kern w:val="44"/>
          <w:sz w:val="24"/>
        </w:rPr>
        <w:t>四</w:t>
      </w:r>
      <w:r>
        <w:rPr>
          <w:rStyle w:val="26"/>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w:t>
      </w:r>
      <w:r>
        <w:rPr>
          <w:rFonts w:hint="eastAsia"/>
          <w:b/>
          <w:bCs/>
          <w:color w:val="0000FF"/>
          <w:sz w:val="24"/>
        </w:rPr>
        <w:t>4</w:t>
      </w:r>
      <w:r>
        <w:rPr>
          <w:b/>
          <w:bCs/>
          <w:color w:val="0000FF"/>
          <w:sz w:val="24"/>
        </w:rPr>
        <w:t>-</w:t>
      </w:r>
      <w:r>
        <w:rPr>
          <w:b/>
          <w:bCs/>
          <w:color w:val="0000FF"/>
          <w:sz w:val="24"/>
        </w:rPr>
        <w:fldChar w:fldCharType="end"/>
      </w:r>
      <w:r>
        <w:fldChar w:fldCharType="end"/>
      </w:r>
    </w:p>
    <w:p>
      <w:pPr>
        <w:pStyle w:val="17"/>
        <w:tabs>
          <w:tab w:val="right" w:leader="dot" w:pos="8296"/>
        </w:tabs>
        <w:rPr>
          <w:rFonts w:ascii="Calibri" w:hAnsi="Calibri" w:cs="黑体"/>
          <w:sz w:val="24"/>
        </w:rPr>
      </w:pPr>
      <w:r>
        <w:fldChar w:fldCharType="begin"/>
      </w:r>
      <w:r>
        <w:instrText xml:space="preserve">HYPERLINK  \l "_Toc509413676" </w:instrText>
      </w:r>
      <w:r>
        <w:fldChar w:fldCharType="separate"/>
      </w:r>
      <w:r>
        <w:rPr>
          <w:rStyle w:val="26"/>
          <w:b/>
          <w:bCs/>
          <w:kern w:val="44"/>
          <w:sz w:val="24"/>
        </w:rPr>
        <w:t>第</w:t>
      </w:r>
      <w:r>
        <w:rPr>
          <w:rStyle w:val="26"/>
          <w:rFonts w:hint="eastAsia"/>
          <w:b/>
          <w:bCs/>
          <w:kern w:val="44"/>
          <w:sz w:val="24"/>
        </w:rPr>
        <w:t>五</w:t>
      </w:r>
      <w:r>
        <w:rPr>
          <w:rStyle w:val="26"/>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- 1</w:t>
      </w:r>
      <w:r>
        <w:rPr>
          <w:rFonts w:hint="eastAsia"/>
          <w:b/>
          <w:bCs/>
          <w:color w:val="0000FF"/>
          <w:sz w:val="24"/>
        </w:rPr>
        <w:t>9</w:t>
      </w:r>
      <w:r>
        <w:rPr>
          <w:b/>
          <w:bCs/>
          <w:color w:val="0000FF"/>
          <w:sz w:val="24"/>
        </w:rPr>
        <w:t>-</w:t>
      </w:r>
      <w:r>
        <w:rPr>
          <w:b/>
          <w:bCs/>
          <w:color w:val="0000FF"/>
          <w:sz w:val="24"/>
        </w:rPr>
        <w:fldChar w:fldCharType="end"/>
      </w:r>
      <w:r>
        <w:fldChar w:fldCharType="end"/>
      </w:r>
    </w:p>
    <w:p>
      <w:r>
        <w:rPr>
          <w:b/>
          <w:bCs/>
          <w:sz w:val="24"/>
          <w:lang w:val="zh-CN"/>
        </w:rPr>
        <w:fldChar w:fldCharType="end"/>
      </w:r>
    </w:p>
    <w:p>
      <w:pPr>
        <w:widowControl/>
        <w:jc w:val="left"/>
      </w:pPr>
    </w:p>
    <w:p>
      <w:pPr>
        <w:widowControl/>
        <w:jc w:val="left"/>
        <w:rPr>
          <w:rStyle w:val="36"/>
          <w:sz w:val="28"/>
          <w:szCs w:val="28"/>
        </w:rPr>
      </w:pPr>
    </w:p>
    <w:p>
      <w:pPr>
        <w:widowControl/>
        <w:jc w:val="left"/>
        <w:rPr>
          <w:rStyle w:val="36"/>
          <w:sz w:val="28"/>
          <w:szCs w:val="28"/>
        </w:rPr>
      </w:pPr>
      <w:r>
        <w:rPr>
          <w:rStyle w:val="36"/>
          <w:sz w:val="28"/>
          <w:szCs w:val="28"/>
        </w:rPr>
        <w:br w:type="page"/>
      </w:r>
    </w:p>
    <w:p>
      <w:pPr>
        <w:overflowPunct w:val="0"/>
        <w:spacing w:line="360" w:lineRule="auto"/>
        <w:jc w:val="center"/>
        <w:outlineLvl w:val="0"/>
        <w:rPr>
          <w:rFonts w:ascii="宋体" w:hAnsi="宋体"/>
          <w:b/>
          <w:sz w:val="36"/>
          <w:szCs w:val="36"/>
        </w:rPr>
      </w:pPr>
      <w:bookmarkStart w:id="0" w:name="_Toc509411550"/>
      <w:bookmarkStart w:id="1" w:name="_Toc509413672"/>
      <w:bookmarkStart w:id="2" w:name="_Toc508467345"/>
      <w:bookmarkStart w:id="3" w:name="_Toc509411470"/>
      <w:r>
        <w:rPr>
          <w:rStyle w:val="36"/>
          <w:rFonts w:hint="eastAsia"/>
          <w:sz w:val="28"/>
          <w:szCs w:val="28"/>
        </w:rPr>
        <w:t>摘　要</w:t>
      </w:r>
      <w:bookmarkEnd w:id="0"/>
      <w:bookmarkEnd w:id="1"/>
      <w:bookmarkEnd w:id="2"/>
      <w:bookmarkEnd w:id="3"/>
    </w:p>
    <w:tbl>
      <w:tblPr>
        <w:tblStyle w:val="23"/>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sz w:val="24"/>
              </w:rPr>
            </w:pPr>
            <w:r>
              <w:rPr>
                <w:rFonts w:hint="eastAsia" w:ascii="宋体" w:hAnsi="宋体"/>
                <w:sz w:val="24"/>
              </w:rPr>
              <w:t>项号</w:t>
            </w:r>
          </w:p>
        </w:tc>
        <w:tc>
          <w:tcPr>
            <w:tcW w:w="2303" w:type="dxa"/>
            <w:vAlign w:val="center"/>
          </w:tcPr>
          <w:p>
            <w:pPr>
              <w:overflowPunct w:val="0"/>
              <w:jc w:val="center"/>
              <w:rPr>
                <w:rFonts w:ascii="宋体" w:hAnsi="宋体"/>
                <w:sz w:val="24"/>
              </w:rPr>
            </w:pPr>
            <w:r>
              <w:rPr>
                <w:rFonts w:hint="eastAsia" w:ascii="宋体" w:hAnsi="宋体"/>
                <w:sz w:val="24"/>
              </w:rPr>
              <w:t>主题</w:t>
            </w:r>
          </w:p>
        </w:tc>
        <w:tc>
          <w:tcPr>
            <w:tcW w:w="5522" w:type="dxa"/>
            <w:vAlign w:val="center"/>
          </w:tcPr>
          <w:p>
            <w:pPr>
              <w:overflowPunct w:val="0"/>
              <w:jc w:val="center"/>
              <w:rPr>
                <w:rFonts w:ascii="宋体" w:hAnsi="宋体"/>
                <w:sz w:val="24"/>
              </w:rPr>
            </w:pPr>
            <w:r>
              <w:rPr>
                <w:rFonts w:hint="eastAsia" w:ascii="宋体" w:hAnsi="宋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rPr>
            </w:pPr>
            <w:r>
              <w:rPr>
                <w:rFonts w:hint="eastAsia" w:ascii="宋体" w:hAnsi="宋体"/>
                <w:szCs w:val="21"/>
              </w:rPr>
              <w:t>荣盛盟固利新能源科技有限公司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招标采购</w:t>
            </w:r>
            <w:r>
              <w:rPr>
                <w:rFonts w:ascii="宋体" w:hAnsi="宋体"/>
                <w:szCs w:val="21"/>
              </w:rPr>
              <w:t>内容</w:t>
            </w:r>
          </w:p>
        </w:tc>
        <w:tc>
          <w:tcPr>
            <w:tcW w:w="5522" w:type="dxa"/>
            <w:vAlign w:val="center"/>
          </w:tcPr>
          <w:p>
            <w:pPr>
              <w:snapToGrid w:val="0"/>
              <w:spacing w:line="340" w:lineRule="exact"/>
              <w:rPr>
                <w:rFonts w:ascii="宋体" w:hAnsi="宋体"/>
                <w:b/>
                <w:color w:val="FF0000"/>
                <w:szCs w:val="21"/>
              </w:rPr>
            </w:pPr>
            <w:r>
              <w:rPr>
                <w:rFonts w:hint="eastAsia" w:ascii="宋体" w:hAnsi="宋体"/>
                <w:bCs/>
                <w:szCs w:val="21"/>
              </w:rPr>
              <w:t>2020年</w:t>
            </w:r>
            <w:r>
              <w:rPr>
                <w:rFonts w:hint="eastAsia" w:ascii="宋体" w:hAnsi="宋体"/>
                <w:bCs/>
                <w:szCs w:val="21"/>
                <w:lang w:val="en-US" w:eastAsia="zh-CN"/>
              </w:rPr>
              <w:t>11</w:t>
            </w:r>
            <w:r>
              <w:rPr>
                <w:rFonts w:hint="eastAsia" w:ascii="宋体" w:hAnsi="宋体"/>
                <w:bCs/>
                <w:szCs w:val="21"/>
              </w:rPr>
              <w:t>月-2021年12月</w:t>
            </w:r>
            <w:r>
              <w:rPr>
                <w:rFonts w:hint="eastAsia" w:ascii="宋体" w:hAnsi="宋体"/>
                <w:b/>
                <w:bCs/>
                <w:color w:val="FF0000"/>
                <w:szCs w:val="21"/>
              </w:rPr>
              <w:t xml:space="preserve"> </w:t>
            </w:r>
            <w:r>
              <w:rPr>
                <w:rFonts w:hint="eastAsia" w:ascii="宋体" w:hAnsi="宋体"/>
                <w:bCs/>
                <w:szCs w:val="21"/>
              </w:rPr>
              <w:t>负极石墨采购项目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预计总需求数量</w:t>
            </w:r>
          </w:p>
        </w:tc>
        <w:tc>
          <w:tcPr>
            <w:tcW w:w="5522" w:type="dxa"/>
            <w:vAlign w:val="center"/>
          </w:tcPr>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三元体系石墨：2873.4吨</w:t>
            </w:r>
          </w:p>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磷酸铁锂体系石墨：2075.6吨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rPr>
            </w:pPr>
            <w:r>
              <w:rPr>
                <w:rFonts w:hint="eastAsia" w:ascii="宋体" w:hAnsi="宋体"/>
                <w:szCs w:val="21"/>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rPr>
            </w:pPr>
            <w:r>
              <w:rPr>
                <w:rFonts w:ascii="宋体" w:hAnsi="宋体"/>
                <w:szCs w:val="21"/>
              </w:rPr>
              <w:t>投标</w:t>
            </w:r>
            <w:r>
              <w:rPr>
                <w:rFonts w:hint="eastAsia" w:ascii="宋体" w:hAnsi="宋体"/>
                <w:szCs w:val="21"/>
              </w:rPr>
              <w:t>人</w:t>
            </w:r>
            <w:r>
              <w:rPr>
                <w:rFonts w:ascii="宋体" w:hAnsi="宋体"/>
                <w:szCs w:val="21"/>
              </w:rPr>
              <w:t>对招标文件如有疑问，</w:t>
            </w:r>
            <w:r>
              <w:rPr>
                <w:rFonts w:hint="eastAsia" w:ascii="宋体" w:hAnsi="宋体"/>
                <w:szCs w:val="21"/>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2"/>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10"/>
              <w:spacing w:line="340" w:lineRule="exact"/>
              <w:rPr>
                <w:rFonts w:hAnsi="宋体"/>
                <w:szCs w:val="21"/>
              </w:rPr>
            </w:pPr>
            <w:r>
              <w:rPr>
                <w:rFonts w:hint="eastAsia" w:hAnsi="宋体"/>
                <w:b/>
                <w:szCs w:val="21"/>
              </w:rPr>
              <w:t>投标文件共分为三部分，分别是</w:t>
            </w:r>
            <w:r>
              <w:rPr>
                <w:rFonts w:hint="eastAsia" w:hAnsi="宋体"/>
                <w:b/>
                <w:color w:val="FF0000"/>
                <w:szCs w:val="21"/>
              </w:rPr>
              <w:t>资格标文件</w:t>
            </w:r>
            <w:r>
              <w:rPr>
                <w:rFonts w:hint="eastAsia" w:hAnsi="宋体"/>
                <w:b/>
                <w:szCs w:val="21"/>
              </w:rPr>
              <w:t>、</w:t>
            </w:r>
            <w:r>
              <w:rPr>
                <w:rFonts w:hint="eastAsia" w:hAnsi="宋体"/>
                <w:b/>
                <w:color w:val="FF0000"/>
                <w:szCs w:val="21"/>
              </w:rPr>
              <w:t>商务标文件</w:t>
            </w:r>
            <w:r>
              <w:rPr>
                <w:rFonts w:hint="eastAsia" w:hAnsi="宋体"/>
                <w:b/>
                <w:szCs w:val="21"/>
              </w:rPr>
              <w:t>和</w:t>
            </w:r>
            <w:r>
              <w:rPr>
                <w:rFonts w:hint="eastAsia" w:hAnsi="宋体"/>
                <w:b/>
                <w:color w:val="FF0000"/>
                <w:szCs w:val="21"/>
              </w:rPr>
              <w:t>技术标文件</w:t>
            </w:r>
            <w:r>
              <w:rPr>
                <w:rFonts w:hint="eastAsia" w:hAnsi="宋体"/>
                <w:b/>
                <w:szCs w:val="21"/>
              </w:rPr>
              <w:t>。依照招标文件规范：资格标文件、商务标文件和技术标文件需分别</w:t>
            </w:r>
            <w:r>
              <w:rPr>
                <w:rFonts w:hint="eastAsia" w:hAnsi="宋体"/>
                <w:b/>
                <w:szCs w:val="21"/>
                <w:u w:val="single"/>
              </w:rPr>
              <w:t>单独装订成书（不允许用活页夹子）</w:t>
            </w:r>
            <w:r>
              <w:rPr>
                <w:rFonts w:hint="eastAsia" w:hAnsi="宋体"/>
                <w:b/>
                <w:szCs w:val="21"/>
              </w:rPr>
              <w:t>，其中商务标文件需单独密封再一并邮寄。要严格按照招标文件规范执行。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2"/>
              <w:overflowPunct w:val="0"/>
              <w:spacing w:line="340" w:lineRule="exact"/>
              <w:rPr>
                <w:sz w:val="21"/>
                <w:szCs w:val="21"/>
              </w:rPr>
            </w:pPr>
            <w:r>
              <w:rPr>
                <w:sz w:val="21"/>
                <w:szCs w:val="21"/>
              </w:rPr>
              <w:t>投标文件</w:t>
            </w:r>
            <w:r>
              <w:rPr>
                <w:rFonts w:hint="eastAsia"/>
                <w:sz w:val="21"/>
                <w:szCs w:val="21"/>
              </w:rPr>
              <w:t>共一正三副，</w:t>
            </w:r>
            <w:r>
              <w:rPr>
                <w:sz w:val="21"/>
                <w:szCs w:val="21"/>
              </w:rPr>
              <w:t>投标文件</w:t>
            </w:r>
            <w:r>
              <w:rPr>
                <w:rFonts w:hint="eastAsia"/>
                <w:sz w:val="21"/>
                <w:szCs w:val="21"/>
              </w:rPr>
              <w:t>依照招标文件规范进行密封后，在投标截止时间之前专人提交或特快专递提交招标人。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9</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投标费用</w:t>
            </w:r>
          </w:p>
        </w:tc>
        <w:tc>
          <w:tcPr>
            <w:tcW w:w="5522" w:type="dxa"/>
            <w:vAlign w:val="bottom"/>
          </w:tcPr>
          <w:p>
            <w:pPr>
              <w:pStyle w:val="12"/>
              <w:overflowPunct w:val="0"/>
              <w:spacing w:line="340" w:lineRule="exact"/>
              <w:rPr>
                <w:bCs/>
                <w:color w:val="FF0000"/>
                <w:sz w:val="21"/>
                <w:szCs w:val="21"/>
              </w:rPr>
            </w:pPr>
            <w:r>
              <w:rPr>
                <w:bCs/>
                <w:color w:val="FF0000"/>
                <w:sz w:val="21"/>
                <w:szCs w:val="21"/>
              </w:rPr>
              <w:t>投标保证金为人民币</w:t>
            </w:r>
            <w:r>
              <w:rPr>
                <w:rFonts w:hint="eastAsia"/>
                <w:bCs/>
                <w:color w:val="FF0000"/>
                <w:sz w:val="21"/>
                <w:szCs w:val="21"/>
              </w:rPr>
              <w:t>伍万</w:t>
            </w:r>
            <w:r>
              <w:rPr>
                <w:bCs/>
                <w:color w:val="FF0000"/>
                <w:sz w:val="21"/>
                <w:szCs w:val="21"/>
              </w:rPr>
              <w:t>元整</w:t>
            </w:r>
          </w:p>
          <w:p>
            <w:pPr>
              <w:overflowPunct w:val="0"/>
              <w:spacing w:line="340" w:lineRule="exact"/>
              <w:rPr>
                <w:rFonts w:hint="eastAsia" w:ascii="宋体" w:hAnsi="宋体"/>
                <w:bCs/>
                <w:szCs w:val="21"/>
              </w:rPr>
            </w:pPr>
            <w:r>
              <w:rPr>
                <w:rFonts w:hint="eastAsia" w:ascii="宋体" w:hAnsi="宋体"/>
                <w:bCs/>
                <w:szCs w:val="21"/>
              </w:rPr>
              <w:t>上述款项缴纳方式：电汇交纳（1.汇款单位请与投标单位名称一致，不接受现金；</w:t>
            </w:r>
          </w:p>
          <w:p>
            <w:pPr>
              <w:overflowPunct w:val="0"/>
              <w:spacing w:line="340" w:lineRule="exact"/>
              <w:rPr>
                <w:rFonts w:ascii="宋体" w:hAnsi="宋体"/>
                <w:bCs/>
                <w:szCs w:val="21"/>
              </w:rPr>
            </w:pPr>
            <w:r>
              <w:rPr>
                <w:rFonts w:hint="eastAsia" w:ascii="宋体" w:hAnsi="宋体"/>
                <w:bCs/>
                <w:szCs w:val="21"/>
              </w:rPr>
              <w:t>2.已有供货的投标人请出示财务证明：即贵公司同意从我公司应付账款中扣除伍万元作为本次投标的保证金，并加盖贵公司财务公章，凭证明，具有投标资格）</w:t>
            </w:r>
          </w:p>
          <w:p>
            <w:pPr>
              <w:overflowPunct w:val="0"/>
              <w:spacing w:line="340" w:lineRule="exact"/>
              <w:rPr>
                <w:rFonts w:hAnsi="宋体"/>
                <w:bCs/>
                <w:szCs w:val="21"/>
              </w:rPr>
            </w:pPr>
            <w:r>
              <w:rPr>
                <w:rFonts w:hint="eastAsia" w:ascii="宋体" w:hAnsi="宋体"/>
                <w:bCs/>
                <w:szCs w:val="21"/>
              </w:rPr>
              <w:t>上述款项缴</w:t>
            </w:r>
            <w:r>
              <w:rPr>
                <w:rFonts w:ascii="宋体" w:hAnsi="宋体"/>
                <w:bCs/>
                <w:szCs w:val="21"/>
              </w:rPr>
              <w:t>纳</w:t>
            </w:r>
            <w:r>
              <w:rPr>
                <w:rFonts w:hint="eastAsia" w:ascii="宋体" w:hAnsi="宋体"/>
                <w:bCs/>
                <w:szCs w:val="21"/>
              </w:rPr>
              <w:t>账号</w:t>
            </w:r>
            <w:r>
              <w:rPr>
                <w:rFonts w:ascii="宋体" w:hAnsi="宋体"/>
                <w:bCs/>
                <w:szCs w:val="21"/>
              </w:rPr>
              <w:t>：</w:t>
            </w:r>
            <w:r>
              <w:rPr>
                <w:rFonts w:hint="eastAsia" w:ascii="宋体" w:hAnsi="宋体"/>
                <w:bCs/>
                <w:spacing w:val="4"/>
                <w:szCs w:val="21"/>
              </w:rPr>
              <w:t xml:space="preserve"> 0200048909200013866（开户行：工行昌平支行营业部）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10</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截标日期</w:t>
            </w:r>
          </w:p>
        </w:tc>
        <w:tc>
          <w:tcPr>
            <w:tcW w:w="5522" w:type="dxa"/>
            <w:vAlign w:val="bottom"/>
          </w:tcPr>
          <w:p>
            <w:pPr>
              <w:overflowPunct w:val="0"/>
              <w:spacing w:line="720" w:lineRule="auto"/>
              <w:jc w:val="left"/>
              <w:rPr>
                <w:rFonts w:ascii="宋体" w:hAnsi="宋体"/>
                <w:bCs/>
                <w:szCs w:val="21"/>
              </w:rPr>
            </w:pPr>
            <w:r>
              <w:rPr>
                <w:rFonts w:hint="eastAsia" w:ascii="宋体" w:hAnsi="宋体"/>
                <w:bCs/>
                <w:szCs w:val="21"/>
              </w:rPr>
              <w:t>2020年1</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11</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开标日期</w:t>
            </w:r>
          </w:p>
        </w:tc>
        <w:tc>
          <w:tcPr>
            <w:tcW w:w="5522" w:type="dxa"/>
            <w:vAlign w:val="center"/>
          </w:tcPr>
          <w:p>
            <w:pPr>
              <w:overflowPunct w:val="0"/>
              <w:rPr>
                <w:rFonts w:ascii="宋体" w:hAnsi="宋体"/>
                <w:bCs/>
                <w:szCs w:val="21"/>
              </w:rPr>
            </w:pPr>
            <w:r>
              <w:rPr>
                <w:rFonts w:hint="eastAsia" w:ascii="宋体" w:hAnsi="宋体"/>
                <w:bCs/>
                <w:szCs w:val="21"/>
              </w:rPr>
              <w:t>2020年</w:t>
            </w:r>
            <w:r>
              <w:rPr>
                <w:rFonts w:hint="eastAsia" w:ascii="宋体" w:hAnsi="宋体"/>
                <w:bCs/>
                <w:szCs w:val="21"/>
                <w:lang w:val="en-US" w:eastAsia="zh-CN"/>
              </w:rPr>
              <w:t>11</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left"/>
              <w:rPr>
                <w:rFonts w:ascii="宋体" w:hAnsi="宋体"/>
                <w:bCs/>
                <w:szCs w:val="21"/>
              </w:rPr>
            </w:pPr>
            <w:r>
              <w:rPr>
                <w:rFonts w:hint="eastAsia" w:ascii="宋体" w:hAnsi="宋体"/>
                <w:bCs/>
                <w:szCs w:val="21"/>
              </w:rPr>
              <w:t>12</w:t>
            </w:r>
          </w:p>
        </w:tc>
        <w:tc>
          <w:tcPr>
            <w:tcW w:w="2303" w:type="dxa"/>
            <w:vAlign w:val="center"/>
          </w:tcPr>
          <w:p>
            <w:pPr>
              <w:jc w:val="left"/>
            </w:pPr>
            <w:r>
              <w:rPr>
                <w:rFonts w:hint="eastAsia"/>
              </w:rPr>
              <w:t>说明</w:t>
            </w:r>
          </w:p>
        </w:tc>
        <w:tc>
          <w:tcPr>
            <w:tcW w:w="5522" w:type="dxa"/>
            <w:vAlign w:val="top"/>
          </w:tcPr>
          <w:p>
            <w:pPr>
              <w:jc w:val="left"/>
              <w:rPr>
                <w:rFonts w:ascii="宋体" w:hAnsi="宋体" w:cs="宋体"/>
                <w:bCs/>
                <w:kern w:val="0"/>
                <w:szCs w:val="21"/>
              </w:rPr>
            </w:pPr>
            <w:r>
              <w:rPr>
                <w:rFonts w:hint="eastAsia" w:ascii="宋体" w:hAnsi="宋体" w:cs="宋体"/>
                <w:bCs/>
                <w:kern w:val="0"/>
                <w:szCs w:val="21"/>
              </w:rPr>
              <w:t>1、以下参数中打*的为关键条款，任意一条偏离将导致废标。</w:t>
            </w:r>
          </w:p>
          <w:p>
            <w:pPr>
              <w:pStyle w:val="32"/>
              <w:numPr>
                <w:ilvl w:val="0"/>
                <w:numId w:val="0"/>
              </w:numPr>
              <w:spacing w:before="383" w:afterLines="30" w:line="440" w:lineRule="exact"/>
              <w:jc w:val="left"/>
              <w:rPr>
                <w:rFonts w:ascii="宋体" w:hAnsi="宋体" w:eastAsia="宋体" w:cs="宋体"/>
                <w:b/>
                <w:szCs w:val="21"/>
              </w:rPr>
            </w:pPr>
            <w:r>
              <w:rPr>
                <w:rFonts w:hint="eastAsia" w:ascii="宋体" w:hAnsi="宋体" w:eastAsia="宋体" w:cs="宋体"/>
                <w:b/>
                <w:szCs w:val="21"/>
              </w:rPr>
              <w:t>2、无论是偏离还是响应，投标方都应在《合同条款偏离表》及《技术规格偏离表》中逐项逐条填写对本条款要求的响应或偏离情况，填写顺序与相应条款顺序号应保持一致，否则将导致废标。</w:t>
            </w:r>
          </w:p>
          <w:p>
            <w:pPr>
              <w:pStyle w:val="32"/>
              <w:numPr>
                <w:ilvl w:val="0"/>
                <w:numId w:val="0"/>
              </w:numPr>
              <w:spacing w:before="383" w:afterLines="30" w:line="440" w:lineRule="exact"/>
              <w:jc w:val="left"/>
              <w:rPr>
                <w:rFonts w:ascii="宋体" w:hAnsi="宋体"/>
                <w:bCs/>
                <w:szCs w:val="21"/>
              </w:rPr>
            </w:pPr>
            <w:r>
              <w:rPr>
                <w:rFonts w:hint="eastAsia" w:ascii="宋体" w:hAnsi="宋体" w:eastAsia="宋体" w:cs="宋体"/>
                <w:b/>
                <w:szCs w:val="21"/>
              </w:rPr>
              <w:t>3.允许拆标进行单独型号投标</w:t>
            </w:r>
            <w:r>
              <w:rPr>
                <w:rFonts w:hint="eastAsia" w:ascii="宋体" w:hAnsi="宋体" w:eastAsia="宋体" w:cs="宋体"/>
                <w:bCs/>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left"/>
              <w:rPr>
                <w:rFonts w:ascii="宋体" w:hAnsi="宋体"/>
                <w:bCs/>
                <w:szCs w:val="21"/>
              </w:rPr>
            </w:pPr>
            <w:r>
              <w:rPr>
                <w:rFonts w:hint="eastAsia" w:ascii="宋体" w:hAnsi="宋体"/>
                <w:bCs/>
                <w:szCs w:val="21"/>
              </w:rPr>
              <w:t>13</w:t>
            </w:r>
          </w:p>
        </w:tc>
        <w:tc>
          <w:tcPr>
            <w:tcW w:w="2303" w:type="dxa"/>
            <w:vAlign w:val="center"/>
          </w:tcPr>
          <w:p>
            <w:pPr>
              <w:overflowPunct w:val="0"/>
              <w:spacing w:line="340" w:lineRule="exact"/>
              <w:jc w:val="left"/>
              <w:rPr>
                <w:rFonts w:ascii="宋体" w:hAnsi="宋体"/>
                <w:bCs/>
                <w:szCs w:val="21"/>
              </w:rPr>
            </w:pPr>
            <w:r>
              <w:rPr>
                <w:rFonts w:hint="eastAsia" w:ascii="宋体" w:hAnsi="宋体" w:cs="宋体"/>
                <w:bCs/>
                <w:kern w:val="0"/>
                <w:szCs w:val="21"/>
              </w:rPr>
              <w:t>招标监督信息</w:t>
            </w:r>
          </w:p>
        </w:tc>
        <w:tc>
          <w:tcPr>
            <w:tcW w:w="5522" w:type="dxa"/>
            <w:vAlign w:val="top"/>
          </w:tcPr>
          <w:p>
            <w:pPr>
              <w:pStyle w:val="32"/>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监督部门：荣盛盟固利监察审计部</w:t>
            </w:r>
          </w:p>
          <w:p>
            <w:pPr>
              <w:pStyle w:val="32"/>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监督电话：13522897660  010-89788170（专线）</w:t>
            </w:r>
          </w:p>
          <w:p>
            <w:pPr>
              <w:pStyle w:val="32"/>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监督邮箱：</w:t>
            </w:r>
            <w:r>
              <w:fldChar w:fldCharType="begin"/>
            </w:r>
            <w:r>
              <w:instrText xml:space="preserve">HYPERLINK "mailto:jcsjb@mgldl.com.cn" </w:instrText>
            </w:r>
            <w:r>
              <w:fldChar w:fldCharType="separate"/>
            </w:r>
            <w:r>
              <w:rPr>
                <w:rFonts w:hint="eastAsia" w:ascii="宋体" w:hAnsi="宋体" w:eastAsia="宋体" w:cs="宋体"/>
                <w:szCs w:val="21"/>
              </w:rPr>
              <w:t>jcsjb@mgldl.com.cn</w:t>
            </w:r>
            <w:r>
              <w:fldChar w:fldCharType="end"/>
            </w:r>
            <w:r>
              <w:rPr>
                <w:rFonts w:hint="eastAsia" w:ascii="宋体" w:hAnsi="宋体" w:eastAsia="宋体" w:cs="宋体"/>
                <w:szCs w:val="21"/>
              </w:rPr>
              <w:t xml:space="preserve">   监督QQ：3397311883</w:t>
            </w:r>
          </w:p>
          <w:p>
            <w:pPr>
              <w:pStyle w:val="32"/>
              <w:numPr>
                <w:ilvl w:val="0"/>
                <w:numId w:val="0"/>
              </w:numPr>
              <w:spacing w:before="383" w:afterLines="30"/>
              <w:jc w:val="left"/>
              <w:rPr>
                <w:rFonts w:ascii="宋体" w:hAnsi="宋体"/>
                <w:szCs w:val="21"/>
              </w:rPr>
            </w:pPr>
            <w:r>
              <w:rPr>
                <w:rFonts w:hint="eastAsia" w:ascii="宋体" w:hAnsi="宋体" w:eastAsia="宋体" w:cs="宋体"/>
                <w:szCs w:val="21"/>
              </w:rPr>
              <w:t xml:space="preserve">监督微信：13522897660 </w:t>
            </w:r>
          </w:p>
        </w:tc>
      </w:tr>
    </w:tbl>
    <w:p>
      <w:pPr>
        <w:pStyle w:val="29"/>
        <w:numPr>
          <w:ilvl w:val="0"/>
          <w:numId w:val="2"/>
        </w:numPr>
        <w:overflowPunct w:val="0"/>
        <w:spacing w:line="360" w:lineRule="auto"/>
        <w:ind w:firstLineChars="0"/>
        <w:jc w:val="center"/>
        <w:outlineLvl w:val="0"/>
        <w:rPr>
          <w:rStyle w:val="36"/>
          <w:sz w:val="28"/>
          <w:szCs w:val="28"/>
        </w:rPr>
      </w:pPr>
      <w:bookmarkStart w:id="68" w:name="_GoBack"/>
      <w:bookmarkEnd w:id="68"/>
      <w:r>
        <w:rPr>
          <w:rFonts w:hint="eastAsia"/>
        </w:rPr>
        <w:br w:type="page"/>
      </w:r>
      <w:bookmarkStart w:id="4" w:name="_Toc509413673"/>
      <w:bookmarkStart w:id="5" w:name="_Toc509411471"/>
      <w:bookmarkStart w:id="6" w:name="_Toc508467346"/>
      <w:bookmarkStart w:id="7" w:name="_Toc7456"/>
      <w:bookmarkStart w:id="8" w:name="_Toc19073"/>
      <w:bookmarkStart w:id="9" w:name="_Toc509411551"/>
      <w:bookmarkStart w:id="10" w:name="_Toc509413674"/>
      <w:bookmarkStart w:id="11" w:name="_Toc509411552"/>
      <w:bookmarkStart w:id="12" w:name="_Toc509411472"/>
      <w:r>
        <w:rPr>
          <w:rStyle w:val="36"/>
          <w:rFonts w:hint="eastAsia"/>
          <w:sz w:val="28"/>
          <w:szCs w:val="28"/>
        </w:rPr>
        <w:t>投标须知</w:t>
      </w:r>
      <w:bookmarkEnd w:id="4"/>
      <w:bookmarkEnd w:id="5"/>
      <w:bookmarkEnd w:id="6"/>
      <w:bookmarkEnd w:id="7"/>
      <w:bookmarkEnd w:id="8"/>
      <w:bookmarkEnd w:id="9"/>
    </w:p>
    <w:p>
      <w:pPr>
        <w:overflowPunct w:val="0"/>
        <w:spacing w:line="360" w:lineRule="auto"/>
        <w:outlineLvl w:val="0"/>
        <w:rPr>
          <w:rStyle w:val="36"/>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3" w:name="_Toc8039"/>
      <w:r>
        <w:rPr>
          <w:rFonts w:hint="eastAsia" w:ascii="宋体" w:hAnsi="宋体" w:cs="宋体"/>
          <w:b/>
          <w:sz w:val="24"/>
        </w:rPr>
        <w:t>1. 说明</w:t>
      </w:r>
      <w:bookmarkEnd w:id="13"/>
    </w:p>
    <w:p>
      <w:pPr>
        <w:rPr>
          <w:rFonts w:ascii="宋体" w:hAnsi="宋体" w:cs="宋体"/>
          <w:sz w:val="24"/>
        </w:rPr>
      </w:pPr>
      <w:r>
        <w:rPr>
          <w:rFonts w:hint="eastAsia" w:ascii="宋体" w:hAnsi="宋体" w:cs="宋体"/>
          <w:sz w:val="24"/>
        </w:rPr>
        <w:t>1.1.本招标文件仅适用于</w:t>
      </w:r>
      <w:r>
        <w:rPr>
          <w:rFonts w:hint="eastAsia" w:ascii="宋体" w:hAnsi="宋体"/>
          <w:bCs/>
          <w:szCs w:val="21"/>
        </w:rPr>
        <w:t>2020年1</w:t>
      </w:r>
      <w:r>
        <w:rPr>
          <w:rFonts w:hint="eastAsia" w:ascii="宋体" w:hAnsi="宋体"/>
          <w:bCs/>
          <w:szCs w:val="21"/>
          <w:lang w:val="en-US" w:eastAsia="zh-CN"/>
        </w:rPr>
        <w:t>1</w:t>
      </w:r>
      <w:r>
        <w:rPr>
          <w:rFonts w:hint="eastAsia" w:ascii="宋体" w:hAnsi="宋体"/>
          <w:bCs/>
          <w:szCs w:val="21"/>
        </w:rPr>
        <w:t>月-2021年12月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4" w:name="_Toc29031"/>
      <w:bookmarkStart w:id="15" w:name="_Toc3393"/>
      <w:r>
        <w:rPr>
          <w:rFonts w:hint="eastAsia" w:ascii="宋体" w:hAnsi="宋体" w:cs="宋体"/>
          <w:b/>
          <w:sz w:val="24"/>
        </w:rPr>
        <w:t>2. 词语释义</w:t>
      </w:r>
      <w:bookmarkEnd w:id="14"/>
      <w:bookmarkEnd w:id="15"/>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16" w:name="_Toc30720"/>
      <w:bookmarkStart w:id="17" w:name="_Toc12828"/>
      <w:r>
        <w:rPr>
          <w:rFonts w:hint="eastAsia" w:ascii="宋体" w:hAnsi="宋体" w:cs="宋体"/>
          <w:b/>
          <w:sz w:val="24"/>
        </w:rPr>
        <w:t>B 投标人</w:t>
      </w:r>
      <w:bookmarkEnd w:id="16"/>
      <w:bookmarkEnd w:id="17"/>
    </w:p>
    <w:p>
      <w:pPr>
        <w:rPr>
          <w:rFonts w:ascii="宋体" w:hAnsi="宋体" w:cs="宋体"/>
          <w:b/>
          <w:sz w:val="24"/>
        </w:rPr>
      </w:pPr>
      <w:bookmarkStart w:id="18" w:name="_Toc27382"/>
      <w:bookmarkStart w:id="19" w:name="_Toc26778"/>
      <w:r>
        <w:rPr>
          <w:rFonts w:hint="eastAsia" w:ascii="宋体" w:hAnsi="宋体" w:cs="宋体"/>
          <w:b/>
          <w:sz w:val="24"/>
        </w:rPr>
        <w:t>3. 合格投标人的条件</w:t>
      </w:r>
      <w:bookmarkEnd w:id="18"/>
      <w:bookmarkEnd w:id="19"/>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中信国安盟固利动力科技有限公司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20" w:name="_Toc29912"/>
      <w:bookmarkStart w:id="21" w:name="_Toc23308"/>
      <w:r>
        <w:rPr>
          <w:rFonts w:hint="eastAsia" w:ascii="宋体" w:hAnsi="宋体" w:cs="宋体"/>
          <w:b/>
          <w:sz w:val="24"/>
        </w:rPr>
        <w:t>4. 投标人代表</w:t>
      </w:r>
      <w:bookmarkEnd w:id="20"/>
      <w:bookmarkEnd w:id="21"/>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22" w:name="_Toc31186"/>
      <w:bookmarkStart w:id="23" w:name="_Toc681"/>
      <w:r>
        <w:rPr>
          <w:rFonts w:hint="eastAsia" w:ascii="宋体" w:hAnsi="宋体" w:cs="宋体"/>
          <w:b/>
          <w:sz w:val="24"/>
        </w:rPr>
        <w:t>5. 费用</w:t>
      </w:r>
      <w:bookmarkEnd w:id="22"/>
      <w:bookmarkEnd w:id="23"/>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b/>
          <w:sz w:val="24"/>
        </w:rPr>
      </w:pPr>
      <w:bookmarkStart w:id="24" w:name="_Toc814"/>
      <w:bookmarkStart w:id="25" w:name="_Toc27626"/>
      <w:r>
        <w:rPr>
          <w:rFonts w:hint="eastAsia" w:ascii="宋体" w:hAnsi="宋体" w:cs="宋体"/>
          <w:b/>
          <w:sz w:val="24"/>
        </w:rPr>
        <w:t>C 招标文件说明</w:t>
      </w:r>
      <w:bookmarkEnd w:id="24"/>
      <w:bookmarkEnd w:id="25"/>
    </w:p>
    <w:p>
      <w:pPr>
        <w:rPr>
          <w:rFonts w:ascii="宋体" w:hAnsi="宋体" w:cs="宋体"/>
          <w:b/>
          <w:sz w:val="24"/>
        </w:rPr>
      </w:pPr>
      <w:bookmarkStart w:id="26" w:name="_Toc14605"/>
      <w:bookmarkStart w:id="27" w:name="_Toc23984"/>
      <w:r>
        <w:rPr>
          <w:rFonts w:hint="eastAsia" w:ascii="宋体" w:hAnsi="宋体" w:cs="宋体"/>
          <w:b/>
          <w:sz w:val="24"/>
        </w:rPr>
        <w:t>6. 招标文件</w:t>
      </w:r>
      <w:bookmarkEnd w:id="26"/>
      <w:bookmarkEnd w:id="27"/>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28" w:name="_Toc31584"/>
      <w:bookmarkStart w:id="29" w:name="_Toc27675"/>
      <w:r>
        <w:rPr>
          <w:rFonts w:hint="eastAsia" w:ascii="宋体" w:hAnsi="宋体" w:cs="宋体"/>
          <w:b/>
          <w:sz w:val="24"/>
        </w:rPr>
        <w:t>7. 对招标文件的澄清</w:t>
      </w:r>
      <w:bookmarkEnd w:id="28"/>
      <w:bookmarkEnd w:id="29"/>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30" w:name="_Toc8693"/>
      <w:bookmarkStart w:id="31" w:name="_Toc10722"/>
      <w:r>
        <w:rPr>
          <w:rFonts w:hint="eastAsia" w:ascii="宋体" w:hAnsi="宋体" w:cs="宋体"/>
          <w:b/>
          <w:sz w:val="24"/>
        </w:rPr>
        <w:t>8. 招标文件的修改</w:t>
      </w:r>
      <w:bookmarkEnd w:id="30"/>
      <w:bookmarkEnd w:id="31"/>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32" w:name="_Toc27720"/>
      <w:bookmarkStart w:id="33" w:name="_Toc9695"/>
      <w:r>
        <w:rPr>
          <w:rFonts w:hint="eastAsia" w:ascii="宋体" w:hAnsi="宋体" w:cs="宋体"/>
          <w:b/>
          <w:sz w:val="24"/>
        </w:rPr>
        <w:t>D投标文件说明</w:t>
      </w:r>
      <w:bookmarkEnd w:id="32"/>
      <w:bookmarkEnd w:id="33"/>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4" w:name="_Toc9100"/>
      <w:bookmarkStart w:id="35" w:name="_Toc23579"/>
      <w:r>
        <w:rPr>
          <w:rFonts w:ascii="Arial" w:hAnsi="Arial" w:cs="Arial"/>
          <w:b/>
          <w:sz w:val="24"/>
        </w:rPr>
        <w:t>＊</w:t>
      </w:r>
      <w:r>
        <w:rPr>
          <w:rFonts w:hint="eastAsia" w:ascii="宋体" w:hAnsi="宋体" w:cs="宋体"/>
          <w:b/>
          <w:sz w:val="24"/>
        </w:rPr>
        <w:t>10. 投标文件计量单位和使用文字</w:t>
      </w:r>
      <w:bookmarkEnd w:id="34"/>
      <w:bookmarkEnd w:id="35"/>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val="0"/>
          <w:bCs/>
          <w:sz w:val="24"/>
          <w:highlight w:val="red"/>
        </w:rPr>
      </w:pPr>
      <w:bookmarkStart w:id="36" w:name="_Toc10482"/>
      <w:bookmarkStart w:id="37" w:name="_Toc32010"/>
      <w:r>
        <w:rPr>
          <w:rFonts w:ascii="Arial" w:hAnsi="Arial" w:cs="Arial"/>
          <w:b w:val="0"/>
          <w:bCs/>
          <w:sz w:val="24"/>
          <w:highlight w:val="red"/>
        </w:rPr>
        <w:t>＊</w:t>
      </w:r>
      <w:r>
        <w:rPr>
          <w:rFonts w:hint="eastAsia" w:ascii="宋体" w:hAnsi="宋体" w:cs="宋体"/>
          <w:b w:val="0"/>
          <w:bCs/>
          <w:sz w:val="24"/>
          <w:highlight w:val="red"/>
        </w:rPr>
        <w:t>11. 投标文件的组成</w:t>
      </w:r>
      <w:bookmarkEnd w:id="36"/>
      <w:bookmarkEnd w:id="37"/>
      <w:r>
        <w:rPr>
          <w:rFonts w:hint="eastAsia" w:ascii="宋体" w:hAnsi="宋体" w:cs="宋体"/>
          <w:b w:val="0"/>
          <w:bCs/>
          <w:sz w:val="24"/>
          <w:highlight w:val="red"/>
        </w:rPr>
        <w:t>（以下文件均需加盖公章）</w:t>
      </w:r>
    </w:p>
    <w:p>
      <w:pPr>
        <w:rPr>
          <w:rFonts w:ascii="宋体" w:hAnsi="宋体" w:cs="宋体"/>
          <w:b w:val="0"/>
          <w:bCs/>
          <w:szCs w:val="21"/>
          <w:highlight w:val="red"/>
        </w:rPr>
      </w:pPr>
      <w:r>
        <w:rPr>
          <w:rFonts w:hint="eastAsia" w:ascii="宋体" w:hAnsi="宋体" w:cs="宋体"/>
          <w:b w:val="0"/>
          <w:bCs/>
          <w:szCs w:val="21"/>
          <w:highlight w:val="red"/>
        </w:rPr>
        <w:t>1.1. 投标文件由11.2、11.3和11.4款规定的内容共同组成</w:t>
      </w:r>
    </w:p>
    <w:p>
      <w:pPr>
        <w:rPr>
          <w:rFonts w:ascii="宋体" w:hAnsi="宋体" w:cs="宋体"/>
          <w:b w:val="0"/>
          <w:bCs/>
          <w:szCs w:val="21"/>
          <w:highlight w:val="red"/>
        </w:rPr>
      </w:pPr>
      <w:r>
        <w:rPr>
          <w:rFonts w:hint="eastAsia" w:ascii="宋体" w:hAnsi="宋体" w:cs="宋体"/>
          <w:b w:val="0"/>
          <w:bCs/>
          <w:szCs w:val="21"/>
          <w:highlight w:val="red"/>
        </w:rPr>
        <w:t>11.1.1.上述文件需分别装订包装（不接受不装钉的标书）</w:t>
      </w:r>
    </w:p>
    <w:p>
      <w:pPr>
        <w:rPr>
          <w:rFonts w:ascii="宋体" w:hAnsi="宋体" w:cs="宋体"/>
          <w:b w:val="0"/>
          <w:bCs/>
          <w:szCs w:val="21"/>
          <w:highlight w:val="red"/>
        </w:rPr>
      </w:pPr>
      <w:r>
        <w:rPr>
          <w:rFonts w:hint="eastAsia" w:ascii="宋体" w:hAnsi="宋体" w:cs="宋体"/>
          <w:b w:val="0"/>
          <w:bCs/>
          <w:szCs w:val="21"/>
          <w:highlight w:val="red"/>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9"/>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9"/>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9"/>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9"/>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val="0"/>
          <w:bCs w:val="0"/>
          <w:color w:val="000000"/>
          <w:sz w:val="24"/>
          <w:highlight w:val="red"/>
        </w:rPr>
      </w:pPr>
      <w:r>
        <w:rPr>
          <w:rFonts w:hint="eastAsia" w:ascii="宋体" w:hAnsi="宋体" w:cs="宋体"/>
          <w:b w:val="0"/>
          <w:bCs w:val="0"/>
          <w:szCs w:val="21"/>
          <w:highlight w:val="red"/>
        </w:rPr>
        <w:t>*</w:t>
      </w:r>
      <w:r>
        <w:rPr>
          <w:rFonts w:hint="eastAsia" w:ascii="宋体" w:hAnsi="宋体" w:cs="宋体"/>
          <w:b w:val="0"/>
          <w:bCs w:val="0"/>
          <w:color w:val="000000"/>
          <w:sz w:val="24"/>
          <w:highlight w:val="red"/>
        </w:rPr>
        <w:t>11.3.商务文件（单独密封）：</w:t>
      </w:r>
    </w:p>
    <w:p>
      <w:pPr>
        <w:pStyle w:val="29"/>
        <w:numPr>
          <w:ilvl w:val="0"/>
          <w:numId w:val="3"/>
        </w:numPr>
        <w:ind w:left="3256" w:firstLineChars="0"/>
        <w:rPr>
          <w:rFonts w:ascii="宋体" w:hAnsi="宋体" w:cs="宋体"/>
          <w:b w:val="0"/>
          <w:bCs w:val="0"/>
          <w:color w:val="000000"/>
          <w:sz w:val="24"/>
          <w:highlight w:val="red"/>
          <w:u w:val="single"/>
        </w:rPr>
      </w:pPr>
      <w:bookmarkStart w:id="38" w:name="_Toc4969"/>
      <w:bookmarkStart w:id="39" w:name="_Toc17069"/>
      <w:r>
        <w:rPr>
          <w:rFonts w:hint="eastAsia" w:ascii="宋体" w:hAnsi="宋体" w:cs="宋体"/>
          <w:b w:val="0"/>
          <w:bCs w:val="0"/>
          <w:color w:val="000000"/>
          <w:sz w:val="24"/>
          <w:highlight w:val="red"/>
          <w:u w:val="single"/>
        </w:rPr>
        <w:t>报价一览表(附件５)；</w:t>
      </w:r>
      <w:bookmarkEnd w:id="38"/>
      <w:bookmarkEnd w:id="39"/>
    </w:p>
    <w:p>
      <w:pPr>
        <w:pStyle w:val="29"/>
        <w:numPr>
          <w:ilvl w:val="0"/>
          <w:numId w:val="3"/>
        </w:numPr>
        <w:ind w:left="3256" w:firstLineChars="0"/>
        <w:rPr>
          <w:rFonts w:ascii="宋体" w:hAnsi="宋体" w:cs="宋体"/>
          <w:b w:val="0"/>
          <w:bCs w:val="0"/>
          <w:color w:val="000000"/>
          <w:sz w:val="24"/>
          <w:highlight w:val="red"/>
          <w:u w:val="single"/>
        </w:rPr>
      </w:pPr>
      <w:r>
        <w:rPr>
          <w:rFonts w:hint="eastAsia" w:ascii="宋体" w:hAnsi="宋体" w:cs="宋体"/>
          <w:b w:val="0"/>
          <w:bCs w:val="0"/>
          <w:color w:val="000000"/>
          <w:sz w:val="24"/>
          <w:highlight w:val="red"/>
          <w:u w:val="single"/>
        </w:rPr>
        <w:t>报价明细表（附件６）；</w:t>
      </w:r>
    </w:p>
    <w:p>
      <w:pPr>
        <w:pStyle w:val="29"/>
        <w:numPr>
          <w:ilvl w:val="0"/>
          <w:numId w:val="3"/>
        </w:numPr>
        <w:ind w:left="3256" w:firstLineChars="0"/>
        <w:rPr>
          <w:rFonts w:ascii="宋体" w:hAnsi="宋体" w:cs="宋体"/>
          <w:b w:val="0"/>
          <w:bCs w:val="0"/>
          <w:color w:val="000000"/>
          <w:sz w:val="24"/>
          <w:highlight w:val="red"/>
          <w:u w:val="single"/>
        </w:rPr>
      </w:pPr>
      <w:bookmarkStart w:id="40" w:name="_Toc24159"/>
      <w:bookmarkStart w:id="41" w:name="_Toc12091"/>
      <w:r>
        <w:rPr>
          <w:rFonts w:hint="eastAsia" w:ascii="宋体" w:hAnsi="宋体" w:cs="宋体"/>
          <w:b w:val="0"/>
          <w:bCs w:val="0"/>
          <w:color w:val="000000"/>
          <w:sz w:val="24"/>
          <w:highlight w:val="red"/>
          <w:u w:val="single"/>
        </w:rPr>
        <w:t>合同条款偏离表</w:t>
      </w:r>
      <w:bookmarkEnd w:id="40"/>
      <w:bookmarkEnd w:id="41"/>
      <w:r>
        <w:rPr>
          <w:rFonts w:hint="eastAsia" w:ascii="宋体" w:hAnsi="宋体" w:cs="宋体"/>
          <w:b w:val="0"/>
          <w:bCs w:val="0"/>
          <w:color w:val="000000"/>
          <w:sz w:val="24"/>
          <w:highlight w:val="red"/>
          <w:u w:val="single"/>
        </w:rPr>
        <w:t>（附件７）。</w:t>
      </w:r>
    </w:p>
    <w:p>
      <w:pPr>
        <w:pStyle w:val="29"/>
        <w:numPr>
          <w:ilvl w:val="0"/>
          <w:numId w:val="3"/>
        </w:numPr>
        <w:ind w:left="3256" w:firstLineChars="0"/>
        <w:rPr>
          <w:rFonts w:ascii="宋体" w:hAnsi="宋体" w:cs="宋体"/>
          <w:b w:val="0"/>
          <w:bCs w:val="0"/>
          <w:color w:val="000000"/>
          <w:sz w:val="24"/>
          <w:highlight w:val="red"/>
          <w:u w:val="single"/>
        </w:rPr>
      </w:pPr>
      <w:r>
        <w:rPr>
          <w:rFonts w:hint="eastAsia" w:ascii="宋体" w:hAnsi="宋体" w:cs="宋体"/>
          <w:b w:val="0"/>
          <w:bCs w:val="0"/>
          <w:color w:val="000000"/>
          <w:sz w:val="24"/>
          <w:highlight w:val="red"/>
          <w:u w:val="single"/>
        </w:rPr>
        <w:t>供应商质量基本要求偏离表（附件8）</w:t>
      </w:r>
    </w:p>
    <w:p>
      <w:pPr>
        <w:rPr>
          <w:rFonts w:ascii="宋体" w:hAnsi="宋体" w:cs="宋体"/>
          <w:b/>
          <w:color w:val="000000"/>
          <w:sz w:val="24"/>
        </w:rPr>
      </w:pPr>
      <w:bookmarkStart w:id="42" w:name="_Toc8081"/>
      <w:bookmarkStart w:id="43" w:name="_Toc23718"/>
      <w:r>
        <w:rPr>
          <w:rFonts w:hint="eastAsia" w:ascii="宋体" w:hAnsi="宋体" w:cs="宋体"/>
          <w:b/>
          <w:bCs/>
          <w:szCs w:val="21"/>
        </w:rPr>
        <w:t>*</w:t>
      </w:r>
      <w:r>
        <w:rPr>
          <w:rFonts w:hint="eastAsia" w:ascii="宋体" w:hAnsi="宋体" w:cs="宋体"/>
          <w:b/>
          <w:color w:val="000000"/>
          <w:sz w:val="24"/>
        </w:rPr>
        <w:t>11.4.招标文件（盖章单独密封）：</w:t>
      </w:r>
    </w:p>
    <w:p>
      <w:pPr>
        <w:pStyle w:val="29"/>
        <w:numPr>
          <w:ilvl w:val="0"/>
          <w:numId w:val="4"/>
        </w:numPr>
        <w:ind w:firstLineChars="0"/>
        <w:rPr>
          <w:rFonts w:ascii="宋体" w:hAnsi="宋体" w:cs="宋体"/>
          <w:color w:val="000000"/>
          <w:sz w:val="24"/>
          <w:u w:val="single"/>
        </w:rPr>
      </w:pPr>
      <w:r>
        <w:rPr>
          <w:rFonts w:hint="eastAsia" w:ascii="宋体" w:hAnsi="宋体" w:cs="宋体"/>
          <w:color w:val="000000"/>
          <w:sz w:val="24"/>
          <w:u w:val="single"/>
        </w:rPr>
        <w:t>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13.1.《报价一览表》中的每一单项均应填写单价，且含税。</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9"/>
        <w:ind w:firstLine="0" w:firstLineChars="0"/>
        <w:rPr>
          <w:rFonts w:ascii="宋体" w:hAnsi="宋体" w:cs="宋体"/>
          <w:color w:val="000000"/>
          <w:sz w:val="24"/>
          <w:u w:val="single"/>
        </w:rPr>
      </w:pPr>
    </w:p>
    <w:bookmarkEnd w:id="42"/>
    <w:bookmarkEnd w:id="43"/>
    <w:p>
      <w:pPr>
        <w:rPr>
          <w:rFonts w:ascii="宋体" w:hAnsi="宋体" w:cs="宋体"/>
          <w:b/>
          <w:sz w:val="24"/>
        </w:rPr>
      </w:pPr>
      <w:bookmarkStart w:id="44" w:name="_Toc819"/>
      <w:bookmarkStart w:id="45" w:name="_Toc32007"/>
      <w:r>
        <w:rPr>
          <w:rFonts w:hint="eastAsia" w:ascii="宋体" w:hAnsi="宋体" w:cs="宋体"/>
          <w:b/>
          <w:bCs/>
          <w:szCs w:val="21"/>
        </w:rPr>
        <w:t>*</w:t>
      </w:r>
      <w:r>
        <w:rPr>
          <w:rFonts w:hint="eastAsia" w:ascii="宋体" w:hAnsi="宋体" w:cs="宋体"/>
          <w:b/>
          <w:sz w:val="24"/>
        </w:rPr>
        <w:t>14. 投标保证金</w:t>
      </w:r>
      <w:bookmarkEnd w:id="44"/>
      <w:bookmarkEnd w:id="45"/>
    </w:p>
    <w:p>
      <w:pPr>
        <w:rPr>
          <w:rFonts w:ascii="宋体" w:hAnsi="宋体" w:cs="宋体"/>
          <w:sz w:val="24"/>
        </w:rPr>
      </w:pPr>
      <w:r>
        <w:rPr>
          <w:rFonts w:hint="eastAsia" w:ascii="宋体" w:hAnsi="宋体" w:cs="宋体"/>
          <w:sz w:val="24"/>
        </w:rPr>
        <w:t xml:space="preserve">14.1.投标人投标时应向招标人提交人民币 </w:t>
      </w:r>
      <w:r>
        <w:rPr>
          <w:rFonts w:hint="eastAsia" w:ascii="宋体" w:hAnsi="宋体" w:cs="宋体"/>
          <w:b/>
          <w:bCs/>
          <w:sz w:val="24"/>
          <w:u w:val="single"/>
        </w:rPr>
        <w:t xml:space="preserve">伍万  </w:t>
      </w:r>
      <w:r>
        <w:rPr>
          <w:rFonts w:hint="eastAsia" w:ascii="宋体" w:hAnsi="宋体" w:cs="宋体"/>
          <w:sz w:val="24"/>
        </w:rPr>
        <w:t>元作为投标保证金。</w:t>
      </w:r>
    </w:p>
    <w:p>
      <w:pPr>
        <w:rPr>
          <w:rFonts w:ascii="宋体" w:hAnsi="宋体" w:cs="宋体"/>
          <w:sz w:val="24"/>
        </w:rPr>
      </w:pPr>
      <w:r>
        <w:rPr>
          <w:rFonts w:hint="eastAsia" w:ascii="宋体" w:hAnsi="宋体" w:cs="宋体"/>
          <w:sz w:val="24"/>
        </w:rPr>
        <w:t>14.2.投标人交纳的投标保证金必须在本招标文件规定的投标截止时间前，按本招标文件的规定方式交纳（如汇款以到账日期为准）。</w:t>
      </w:r>
    </w:p>
    <w:p>
      <w:pPr>
        <w:rPr>
          <w:rFonts w:ascii="宋体" w:hAnsi="宋体" w:cs="宋体"/>
          <w:sz w:val="24"/>
        </w:rPr>
      </w:pPr>
      <w:r>
        <w:rPr>
          <w:rFonts w:hint="eastAsia" w:ascii="宋体" w:hAnsi="宋体" w:cs="宋体"/>
          <w:sz w:val="24"/>
        </w:rPr>
        <w:t>14.3.未按上述要求提交投标保证金的投标人，招标人/招标代理机构将拒绝其投标文件。</w:t>
      </w:r>
    </w:p>
    <w:p>
      <w:pPr>
        <w:rPr>
          <w:rFonts w:ascii="宋体" w:hAnsi="宋体" w:cs="宋体"/>
          <w:sz w:val="24"/>
        </w:rPr>
      </w:pPr>
      <w:r>
        <w:rPr>
          <w:rFonts w:hint="eastAsia" w:ascii="宋体" w:hAnsi="宋体" w:cs="宋体"/>
          <w:sz w:val="24"/>
        </w:rPr>
        <w:t>14.4.未中标的投标人的投标保证金，将在招标人发出中标通知书后20个工作日内由招标机构无息退还。中标人的投标保证金将在招标人与中标方签订的合同生效后20个工作日无息退还。出具财务证明的投标人不论中标与否，不予以办理退款。</w:t>
      </w:r>
    </w:p>
    <w:p>
      <w:pPr>
        <w:rPr>
          <w:rFonts w:ascii="宋体" w:hAnsi="宋体" w:cs="宋体"/>
          <w:sz w:val="24"/>
        </w:rPr>
      </w:pPr>
      <w:r>
        <w:rPr>
          <w:rFonts w:hint="eastAsia" w:ascii="宋体" w:hAnsi="宋体" w:cs="宋体"/>
          <w:sz w:val="24"/>
        </w:rPr>
        <w:t>14.5.发生下列情况之一，投标保证金将被没收。</w:t>
      </w:r>
    </w:p>
    <w:p>
      <w:pPr>
        <w:rPr>
          <w:rFonts w:ascii="宋体" w:hAnsi="宋体" w:cs="宋体"/>
          <w:sz w:val="24"/>
        </w:rPr>
      </w:pPr>
      <w:r>
        <w:rPr>
          <w:rFonts w:hint="eastAsia" w:ascii="宋体" w:hAnsi="宋体" w:cs="宋体"/>
          <w:sz w:val="24"/>
        </w:rPr>
        <w:t>14.5.1.在投标有效期内，投标人撤回其投标文件的；</w:t>
      </w:r>
    </w:p>
    <w:p>
      <w:pPr>
        <w:rPr>
          <w:rFonts w:ascii="宋体" w:hAnsi="宋体" w:cs="宋体"/>
          <w:sz w:val="24"/>
        </w:rPr>
      </w:pPr>
      <w:r>
        <w:rPr>
          <w:rFonts w:hint="eastAsia" w:ascii="宋体" w:hAnsi="宋体" w:cs="宋体"/>
          <w:sz w:val="24"/>
        </w:rPr>
        <w:t>14.5.2.投标人所提投标文件经查内容不实的；</w:t>
      </w:r>
    </w:p>
    <w:p>
      <w:pPr>
        <w:rPr>
          <w:rFonts w:ascii="宋体" w:hAnsi="宋体" w:cs="宋体"/>
          <w:sz w:val="24"/>
        </w:rPr>
      </w:pPr>
      <w:bookmarkStart w:id="46" w:name="_Toc8079"/>
      <w:bookmarkStart w:id="47" w:name="_Toc18240"/>
      <w:r>
        <w:rPr>
          <w:rFonts w:hint="eastAsia" w:ascii="宋体" w:hAnsi="宋体" w:cs="宋体"/>
          <w:sz w:val="24"/>
        </w:rPr>
        <w:t>14.5.3. 投标人在投标过程中有违反有关法律法规行为的；</w:t>
      </w:r>
      <w:bookmarkEnd w:id="46"/>
      <w:bookmarkEnd w:id="47"/>
    </w:p>
    <w:p>
      <w:pPr>
        <w:rPr>
          <w:rFonts w:ascii="宋体" w:hAnsi="宋体" w:cs="宋体"/>
          <w:sz w:val="24"/>
        </w:rPr>
      </w:pPr>
      <w:r>
        <w:rPr>
          <w:rFonts w:hint="eastAsia" w:ascii="宋体" w:hAnsi="宋体" w:cs="宋体"/>
          <w:sz w:val="24"/>
        </w:rPr>
        <w:t>14.5.4. 中标人无正当理由不按本投标文件相关条款规定与招标人签订合同的；</w:t>
      </w:r>
    </w:p>
    <w:p>
      <w:pPr>
        <w:rPr>
          <w:rFonts w:ascii="宋体" w:hAnsi="宋体" w:cs="宋体"/>
          <w:sz w:val="24"/>
        </w:rPr>
      </w:pPr>
      <w:bookmarkStart w:id="48" w:name="_Toc19793"/>
      <w:bookmarkStart w:id="49" w:name="_Toc4586"/>
      <w:r>
        <w:rPr>
          <w:rFonts w:hint="eastAsia" w:ascii="宋体" w:hAnsi="宋体" w:cs="宋体"/>
          <w:sz w:val="24"/>
        </w:rPr>
        <w:t>14.5.5. 中标人不按签订合同约定执行的；</w:t>
      </w:r>
      <w:bookmarkEnd w:id="48"/>
      <w:bookmarkEnd w:id="49"/>
    </w:p>
    <w:p>
      <w:pPr>
        <w:rPr>
          <w:rFonts w:ascii="宋体" w:hAnsi="宋体" w:cs="宋体"/>
          <w:sz w:val="24"/>
        </w:rPr>
      </w:pPr>
      <w:bookmarkStart w:id="50" w:name="_Toc10986"/>
      <w:bookmarkStart w:id="51" w:name="_Toc10924"/>
      <w:r>
        <w:rPr>
          <w:rFonts w:hint="eastAsia" w:ascii="宋体" w:hAnsi="宋体" w:cs="宋体"/>
          <w:b/>
          <w:bCs/>
          <w:szCs w:val="21"/>
        </w:rPr>
        <w:t>*</w:t>
      </w:r>
      <w:r>
        <w:rPr>
          <w:rFonts w:hint="eastAsia" w:ascii="宋体" w:hAnsi="宋体" w:cs="宋体"/>
          <w:sz w:val="24"/>
        </w:rPr>
        <w:t>15. 投标文件的有效期</w:t>
      </w:r>
      <w:bookmarkEnd w:id="50"/>
      <w:bookmarkEnd w:id="51"/>
    </w:p>
    <w:p>
      <w:pPr>
        <w:rPr>
          <w:rFonts w:ascii="宋体" w:hAnsi="宋体" w:cs="宋体"/>
          <w:sz w:val="24"/>
        </w:rPr>
      </w:pPr>
      <w:r>
        <w:rPr>
          <w:rFonts w:hint="eastAsia" w:ascii="宋体" w:hAnsi="宋体" w:cs="宋体"/>
          <w:sz w:val="24"/>
        </w:rPr>
        <w:t>15.1. 在本招标文件规定的有效期内，投标文件应保持有效。</w:t>
      </w:r>
    </w:p>
    <w:p>
      <w:pPr>
        <w:rPr>
          <w:rFonts w:ascii="宋体" w:hAnsi="宋体" w:cs="宋体"/>
          <w:sz w:val="24"/>
        </w:rPr>
      </w:pPr>
      <w:r>
        <w:rPr>
          <w:rFonts w:hint="eastAsia" w:ascii="宋体" w:hAnsi="宋体" w:cs="宋体"/>
          <w:sz w:val="24"/>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b/>
          <w:sz w:val="24"/>
        </w:rPr>
      </w:pPr>
      <w:bookmarkStart w:id="52" w:name="_Toc10916"/>
      <w:bookmarkStart w:id="53" w:name="_Toc31903"/>
      <w:r>
        <w:rPr>
          <w:rFonts w:hint="eastAsia" w:ascii="宋体" w:hAnsi="宋体" w:cs="宋体"/>
          <w:b/>
          <w:bCs/>
          <w:szCs w:val="21"/>
        </w:rPr>
        <w:t>*</w:t>
      </w:r>
      <w:r>
        <w:rPr>
          <w:rFonts w:hint="eastAsia" w:ascii="宋体" w:hAnsi="宋体" w:cs="宋体"/>
          <w:b/>
          <w:sz w:val="24"/>
        </w:rPr>
        <w:t>16. 投标文件的签署及加密</w:t>
      </w:r>
      <w:bookmarkEnd w:id="52"/>
      <w:bookmarkEnd w:id="53"/>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54" w:name="_Toc16079"/>
      <w:bookmarkStart w:id="55" w:name="_Toc23121"/>
      <w:r>
        <w:rPr>
          <w:rFonts w:hint="eastAsia" w:ascii="宋体" w:hAnsi="宋体" w:cs="宋体"/>
          <w:sz w:val="24"/>
        </w:rPr>
        <w:t>E. 投标文件的递交</w:t>
      </w:r>
      <w:bookmarkEnd w:id="54"/>
      <w:bookmarkEnd w:id="55"/>
    </w:p>
    <w:p>
      <w:pPr>
        <w:rPr>
          <w:rFonts w:ascii="宋体" w:hAnsi="宋体" w:cs="宋体"/>
          <w:b/>
          <w:sz w:val="24"/>
        </w:rPr>
      </w:pPr>
      <w:bookmarkStart w:id="56" w:name="_Toc29058"/>
      <w:bookmarkStart w:id="57" w:name="_Toc3580"/>
      <w:r>
        <w:rPr>
          <w:rFonts w:hint="eastAsia" w:ascii="宋体" w:hAnsi="宋体" w:cs="宋体"/>
          <w:b/>
          <w:sz w:val="24"/>
        </w:rPr>
        <w:t>17. 投标截止时间</w:t>
      </w:r>
      <w:bookmarkEnd w:id="56"/>
      <w:bookmarkEnd w:id="57"/>
    </w:p>
    <w:p>
      <w:pPr>
        <w:rPr>
          <w:rFonts w:ascii="宋体" w:hAnsi="宋体" w:cs="宋体"/>
          <w:sz w:val="24"/>
        </w:rPr>
      </w:pPr>
      <w:r>
        <w:rPr>
          <w:rFonts w:hint="eastAsia" w:ascii="宋体" w:hAnsi="宋体" w:cs="宋体"/>
          <w:sz w:val="24"/>
        </w:rPr>
        <w:t>17.1.投标文件必须按本招标文件规定的投标截止时间之前以本招标文件规定的方式送达招标机构。</w:t>
      </w:r>
    </w:p>
    <w:p>
      <w:pPr>
        <w:rPr>
          <w:rFonts w:ascii="宋体" w:hAnsi="宋体" w:cs="宋体"/>
          <w:sz w:val="24"/>
        </w:rPr>
      </w:pPr>
      <w:r>
        <w:rPr>
          <w:rFonts w:hint="eastAsia" w:ascii="宋体" w:hAnsi="宋体" w:cs="宋体"/>
          <w:sz w:val="24"/>
        </w:rPr>
        <w:t>17.2.招标人如果推迟投标截止时间时，应以本招标书规定的形式通知所有投标人。在这种情况下，招标人和投标人的权利和义务将收到新的截止期的约束。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17.3.在投标截止时间以后送达的投标文件，招标人将拒绝接受。</w:t>
      </w:r>
    </w:p>
    <w:p>
      <w:pPr>
        <w:rPr>
          <w:rFonts w:ascii="宋体" w:hAnsi="宋体" w:cs="宋体"/>
          <w:b/>
          <w:sz w:val="24"/>
        </w:rPr>
      </w:pPr>
      <w:bookmarkStart w:id="58" w:name="_Toc32039"/>
      <w:bookmarkStart w:id="59" w:name="_Toc18815"/>
      <w:r>
        <w:rPr>
          <w:rFonts w:hint="eastAsia" w:ascii="宋体" w:hAnsi="宋体" w:cs="宋体"/>
          <w:b/>
          <w:sz w:val="24"/>
        </w:rPr>
        <w:t>18. 投标文件的修改和撤回</w:t>
      </w:r>
      <w:bookmarkEnd w:id="58"/>
      <w:bookmarkEnd w:id="59"/>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19 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rPr>
        <w:t>20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21 开商务标</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21.1 招标人按本招标文件规定的时间、地点主持商务标开标。开标仪式由招标人、投标人代表及有关方面代表参加。</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 xml:space="preserve">21.2 参加开标的投标人代表应携带本人身份证明签名报到，以证明其出席开标会议。 </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21.3 投标人法定代表人或授权委托人未准时参加开标会议的视为自动放弃投标，其投标文件将不予评审，投标保证金将予以没收。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21.4 招标人在技术标评审后当众宣布商务标的入围投标人名单，未中标的投标人可在不开封（或不解密）商务标的情况下取回商务文件并离开会场。</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21.5 开标时由入围的投标方依顺序与招标方工作人员共同检验投标文件的密封情况，并确认无误后由招标方工作人员当众进行开封标书。</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 评标委员会将对确定为实质上响应的投标文件进行审核，看其是否有计算上或累加上的算术错误。除非评标委员会另有决议，否则对计算或书写错误的修正原则如下：</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21.6.1 开标时，投标文件中报价一览表（报价表）内容与投标文件中明细内容不一致的，以价格较低者为准；</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21.6.2 投标文件的大写金额与小写金额不一致的，以大写金额为准；</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21.6.4 对不同文字文本投标文件的解释发生异议的，以中文文本为准；</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21.6.5 投标人不同意以上修正，则其投标资格将被拒绝。</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21.8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22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22.2.有关澄清的答复应采用书面形式，该书面答复应有投标人全权代表签署确认，并将作为投标内容的一部分。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22.3.投标人对投标文件的澄清不得改变投标的价格（校核时发现的算术错误除外）及实质内容。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23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24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25 中标通知</w:t>
      </w:r>
    </w:p>
    <w:p>
      <w:pPr>
        <w:rPr>
          <w:rFonts w:ascii="宋体" w:hAnsi="宋体" w:cs="宋体"/>
          <w:szCs w:val="21"/>
        </w:rPr>
      </w:pPr>
      <w:r>
        <w:rPr>
          <w:rFonts w:hint="eastAsia" w:ascii="宋体" w:hAnsi="宋体" w:cs="宋体"/>
          <w:szCs w:val="21"/>
        </w:rPr>
        <w:t>25.1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25.2 中标通知书将成为合同的组成部分。</w:t>
      </w:r>
    </w:p>
    <w:p>
      <w:pPr>
        <w:rPr>
          <w:rFonts w:ascii="宋体" w:hAnsi="宋体" w:cs="宋体"/>
          <w:szCs w:val="21"/>
        </w:rPr>
      </w:pPr>
      <w:r>
        <w:rPr>
          <w:rFonts w:hint="eastAsia" w:ascii="宋体" w:hAnsi="宋体" w:cs="宋体"/>
          <w:szCs w:val="21"/>
        </w:rPr>
        <w:t>25.3 招标人在发出《中标通知书》的同时，招标人将中标的结果通知所有未中标的投标人，并退还投标保证金。出具财务证明的投标人不论中标与否，不予以办理退款。</w:t>
      </w:r>
    </w:p>
    <w:p>
      <w:pPr>
        <w:rPr>
          <w:rFonts w:ascii="宋体" w:hAnsi="宋体" w:cs="宋体"/>
          <w:b/>
          <w:bCs/>
          <w:szCs w:val="21"/>
        </w:rPr>
      </w:pPr>
      <w:r>
        <w:rPr>
          <w:rFonts w:hint="eastAsia" w:ascii="宋体" w:hAnsi="宋体" w:cs="宋体"/>
          <w:b/>
          <w:bCs/>
          <w:szCs w:val="21"/>
        </w:rPr>
        <w:t>26 合同的签订</w:t>
      </w:r>
    </w:p>
    <w:p>
      <w:pPr>
        <w:rPr>
          <w:rFonts w:ascii="宋体" w:hAnsi="宋体" w:cs="宋体"/>
          <w:szCs w:val="21"/>
        </w:rPr>
      </w:pPr>
      <w:r>
        <w:rPr>
          <w:rFonts w:hint="eastAsia" w:ascii="宋体" w:hAnsi="宋体" w:cs="宋体"/>
          <w:szCs w:val="21"/>
        </w:rPr>
        <w:t>26.1.中标单位应在10日内完成合同签署并回传给招标方，由法定代表人或授权委托人与招标人签订合同。否则按放弃中标权处理，并没收投标保证金。</w:t>
      </w:r>
    </w:p>
    <w:p>
      <w:pPr>
        <w:rPr>
          <w:rFonts w:ascii="宋体" w:hAnsi="宋体" w:cs="宋体"/>
          <w:szCs w:val="21"/>
        </w:rPr>
      </w:pPr>
      <w:r>
        <w:rPr>
          <w:rFonts w:hint="eastAsia" w:ascii="宋体" w:hAnsi="宋体" w:cs="宋体"/>
          <w:szCs w:val="21"/>
        </w:rPr>
        <w:t>26.2.招标文件、中标方的投标文件及其澄清文件等，均为签订经济合同的依据。</w:t>
      </w:r>
    </w:p>
    <w:p>
      <w:pPr>
        <w:rPr>
          <w:rFonts w:ascii="宋体" w:hAnsi="宋体" w:cs="宋体"/>
          <w:sz w:val="24"/>
        </w:rPr>
      </w:pPr>
    </w:p>
    <w:p>
      <w:pPr>
        <w:rPr>
          <w:rFonts w:ascii="宋体" w:hAnsi="宋体" w:cs="宋体"/>
          <w:b/>
          <w:sz w:val="24"/>
        </w:rPr>
      </w:pPr>
      <w:bookmarkStart w:id="60" w:name="_Toc30916"/>
      <w:bookmarkStart w:id="61" w:name="_Toc2574"/>
      <w:r>
        <w:rPr>
          <w:rFonts w:hint="eastAsia" w:ascii="宋体" w:hAnsi="宋体" w:cs="宋体"/>
          <w:b/>
          <w:sz w:val="24"/>
        </w:rPr>
        <w:t>K、有关本招标文件的任何疑问，可函、电下列联系方式</w:t>
      </w:r>
      <w:bookmarkEnd w:id="60"/>
      <w:bookmarkEnd w:id="61"/>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传    真：010--89747404</w:t>
      </w:r>
    </w:p>
    <w:p>
      <w:pPr>
        <w:rPr>
          <w:rFonts w:ascii="宋体" w:hAnsi="宋体" w:cs="宋体"/>
          <w:b/>
          <w:sz w:val="24"/>
        </w:rPr>
        <w:sectPr>
          <w:footerReference r:id="rId6" w:type="default"/>
          <w:pgSz w:w="11906" w:h="16838"/>
          <w:pgMar w:top="1440" w:right="1800" w:bottom="1440" w:left="1800" w:header="567" w:footer="567" w:gutter="0"/>
          <w:pgNumType w:fmt="numberInDash"/>
          <w:cols w:space="720" w:num="1"/>
          <w:docGrid w:type="lines" w:linePitch="383" w:charSpace="0"/>
        </w:sectPr>
      </w:pPr>
      <w:r>
        <w:rPr>
          <w:rFonts w:hint="eastAsia" w:ascii="宋体" w:hAnsi="宋体" w:cs="宋体"/>
          <w:b/>
          <w:sz w:val="24"/>
        </w:rPr>
        <w:t xml:space="preserve">  联 系 人：李  顺    手机 13821278165  Email：</w:t>
      </w:r>
      <w:r>
        <w:fldChar w:fldCharType="begin"/>
      </w:r>
      <w:r>
        <w:instrText xml:space="preserve">HYPERLINK "mailto:lishun@mgldl.com.cn" </w:instrText>
      </w:r>
      <w:r>
        <w:fldChar w:fldCharType="separate"/>
      </w:r>
      <w:r>
        <w:rPr>
          <w:rStyle w:val="26"/>
          <w:rFonts w:hint="eastAsia" w:ascii="宋体" w:hAnsi="宋体" w:cs="宋体"/>
          <w:b/>
          <w:sz w:val="24"/>
        </w:rPr>
        <w:t>lishun@mgldl.com.cn</w:t>
      </w:r>
      <w:r>
        <w:fldChar w:fldCharType="end"/>
      </w:r>
      <w:r>
        <w:rPr>
          <w:rFonts w:hint="eastAsia" w:ascii="宋体" w:hAnsi="宋体" w:cs="宋体"/>
          <w:b/>
          <w:sz w:val="24"/>
        </w:rPr>
        <w:t xml:space="preserve">   </w:t>
      </w:r>
    </w:p>
    <w:p>
      <w:pPr>
        <w:jc w:val="center"/>
        <w:rPr>
          <w:rFonts w:ascii="宋体" w:hAnsi="宋体" w:cs="宋体"/>
          <w:b/>
          <w:sz w:val="32"/>
          <w:szCs w:val="32"/>
        </w:rPr>
      </w:pPr>
      <w:r>
        <w:rPr>
          <w:rFonts w:hint="eastAsia" w:ascii="宋体" w:hAnsi="宋体" w:cs="宋体"/>
          <w:b/>
          <w:sz w:val="32"/>
          <w:szCs w:val="32"/>
        </w:rPr>
        <w:t>招标说明</w:t>
      </w:r>
    </w:p>
    <w:p>
      <w:pPr>
        <w:pStyle w:val="29"/>
        <w:numPr>
          <w:ilvl w:val="0"/>
          <w:numId w:val="5"/>
        </w:numPr>
        <w:ind w:firstLineChars="0"/>
        <w:rPr>
          <w:rFonts w:ascii="宋体" w:hAnsi="宋体" w:cs="宋体"/>
          <w:b/>
          <w:sz w:val="24"/>
        </w:rPr>
      </w:pPr>
      <w:r>
        <w:rPr>
          <w:rFonts w:hint="eastAsia" w:ascii="宋体" w:hAnsi="宋体" w:cs="宋体"/>
          <w:b/>
          <w:sz w:val="24"/>
        </w:rPr>
        <w:t>现场</w:t>
      </w:r>
      <w:r>
        <w:rPr>
          <w:rFonts w:hint="eastAsia" w:ascii="宋体" w:hAnsi="宋体" w:cs="宋体"/>
          <w:b/>
          <w:sz w:val="24"/>
          <w:lang w:val="en-US" w:eastAsia="zh-CN"/>
        </w:rPr>
        <w:t>开</w:t>
      </w:r>
      <w:r>
        <w:rPr>
          <w:rFonts w:hint="eastAsia" w:ascii="宋体" w:hAnsi="宋体" w:cs="宋体"/>
          <w:b/>
          <w:sz w:val="24"/>
        </w:rPr>
        <w:t>标，要求投标方销售总监</w:t>
      </w:r>
      <w:r>
        <w:rPr>
          <w:rFonts w:hint="eastAsia" w:ascii="宋体" w:hAnsi="宋体" w:cs="宋体"/>
          <w:b/>
          <w:sz w:val="24"/>
          <w:lang w:val="en-US" w:eastAsia="zh-CN"/>
        </w:rPr>
        <w:t>或</w:t>
      </w:r>
      <w:r>
        <w:rPr>
          <w:rFonts w:hint="eastAsia" w:ascii="宋体" w:hAnsi="宋体" w:cs="宋体"/>
          <w:b/>
          <w:sz w:val="24"/>
        </w:rPr>
        <w:t>副总以上人员到场参加。</w:t>
      </w:r>
      <w:r>
        <w:rPr>
          <w:rFonts w:hint="eastAsia" w:ascii="宋体" w:hAnsi="宋体" w:cs="宋体"/>
          <w:b/>
          <w:sz w:val="24"/>
          <w:lang w:val="en-US" w:eastAsia="zh-CN"/>
        </w:rPr>
        <w:t>北京</w:t>
      </w:r>
    </w:p>
    <w:p>
      <w:pPr>
        <w:pStyle w:val="29"/>
        <w:numPr>
          <w:ilvl w:val="0"/>
          <w:numId w:val="5"/>
        </w:numPr>
        <w:ind w:firstLineChars="0"/>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29"/>
        <w:numPr>
          <w:ilvl w:val="0"/>
          <w:numId w:val="5"/>
        </w:numPr>
        <w:ind w:firstLineChars="0"/>
        <w:rPr>
          <w:rFonts w:ascii="宋体" w:hAnsi="宋体" w:cs="宋体"/>
          <w:b/>
          <w:sz w:val="24"/>
        </w:rPr>
      </w:pPr>
      <w:r>
        <w:rPr>
          <w:rFonts w:hint="eastAsia" w:ascii="宋体" w:hAnsi="宋体" w:cs="宋体"/>
          <w:b/>
          <w:sz w:val="24"/>
        </w:rPr>
        <w:t>付款方式月结</w:t>
      </w:r>
      <w:r>
        <w:rPr>
          <w:rFonts w:hint="eastAsia" w:ascii="宋体" w:hAnsi="宋体" w:cs="宋体"/>
          <w:b/>
          <w:sz w:val="24"/>
          <w:lang w:val="en-US" w:eastAsia="zh-CN"/>
        </w:rPr>
        <w:t>180</w:t>
      </w:r>
      <w:r>
        <w:rPr>
          <w:rFonts w:hint="eastAsia" w:ascii="宋体" w:hAnsi="宋体" w:cs="宋体"/>
          <w:b/>
          <w:sz w:val="24"/>
        </w:rPr>
        <w:t>天，电汇或银承；同等价格条件</w:t>
      </w:r>
      <w:r>
        <w:rPr>
          <w:rFonts w:hint="eastAsia" w:ascii="宋体" w:hAnsi="宋体" w:cs="宋体"/>
          <w:b/>
          <w:sz w:val="24"/>
          <w:lang w:val="en-US" w:eastAsia="zh-CN"/>
        </w:rPr>
        <w:t>下账期长的厂家</w:t>
      </w:r>
      <w:r>
        <w:rPr>
          <w:rFonts w:hint="eastAsia" w:ascii="宋体" w:hAnsi="宋体" w:cs="宋体"/>
          <w:b/>
          <w:sz w:val="24"/>
        </w:rPr>
        <w:t>会优先考虑。</w:t>
      </w:r>
    </w:p>
    <w:p>
      <w:pPr>
        <w:pStyle w:val="29"/>
        <w:numPr>
          <w:ilvl w:val="0"/>
          <w:numId w:val="5"/>
        </w:numPr>
        <w:ind w:firstLineChars="0"/>
        <w:rPr>
          <w:rFonts w:ascii="宋体" w:hAnsi="宋体" w:cs="宋体"/>
          <w:b/>
          <w:sz w:val="24"/>
        </w:rPr>
      </w:pPr>
      <w:r>
        <w:rPr>
          <w:rFonts w:hint="eastAsia" w:ascii="宋体" w:hAnsi="宋体" w:cs="宋体"/>
          <w:b/>
          <w:sz w:val="24"/>
        </w:rPr>
        <w:t>中标方会签订框架协议，首选供方采购量不低于我司总需求的60%-80%；第二供方采购量不低于我司总需求的20%-40%。</w:t>
      </w:r>
    </w:p>
    <w:p>
      <w:pPr>
        <w:pStyle w:val="29"/>
        <w:numPr>
          <w:ilvl w:val="0"/>
          <w:numId w:val="5"/>
        </w:numPr>
        <w:ind w:firstLineChars="0"/>
        <w:rPr>
          <w:rFonts w:ascii="宋体" w:hAnsi="宋体" w:cs="宋体"/>
          <w:b/>
          <w:sz w:val="24"/>
        </w:rPr>
      </w:pPr>
      <w:r>
        <w:rPr>
          <w:rFonts w:hint="eastAsia" w:ascii="宋体" w:hAnsi="宋体" w:cs="宋体"/>
          <w:b/>
          <w:sz w:val="24"/>
        </w:rPr>
        <w:t>初次合作的新供方中标后，我司保证在6个月内完成测试和引入。</w:t>
      </w:r>
    </w:p>
    <w:p>
      <w:pPr>
        <w:overflowPunct w:val="0"/>
        <w:spacing w:line="360" w:lineRule="auto"/>
        <w:jc w:val="center"/>
        <w:outlineLvl w:val="0"/>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b/>
          <w:spacing w:val="4"/>
          <w:sz w:val="18"/>
        </w:rPr>
      </w:pPr>
    </w:p>
    <w:p>
      <w:pPr>
        <w:overflowPunct w:val="0"/>
        <w:spacing w:line="360" w:lineRule="auto"/>
        <w:jc w:val="center"/>
        <w:outlineLvl w:val="0"/>
        <w:rPr>
          <w:rStyle w:val="36"/>
          <w:sz w:val="28"/>
          <w:szCs w:val="28"/>
        </w:rPr>
      </w:pPr>
      <w:r>
        <w:rPr>
          <w:rStyle w:val="36"/>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rPr>
          <w:rFonts w:ascii="宋体" w:hAnsi="宋体" w:cs="宋体"/>
          <w:szCs w:val="21"/>
        </w:rPr>
      </w:pPr>
      <w:r>
        <w:rPr>
          <w:rFonts w:hint="eastAsia" w:ascii="宋体" w:hAnsi="宋体" w:cs="宋体"/>
          <w:szCs w:val="21"/>
        </w:rPr>
        <w:t>1.投标函（附件1）</w:t>
      </w:r>
    </w:p>
    <w:p>
      <w:pPr>
        <w:rPr>
          <w:rFonts w:ascii="宋体" w:hAnsi="宋体" w:cs="宋体"/>
          <w:szCs w:val="21"/>
        </w:rPr>
      </w:pPr>
      <w:r>
        <w:rPr>
          <w:rFonts w:hint="eastAsia" w:ascii="宋体" w:hAnsi="宋体" w:cs="宋体"/>
          <w:szCs w:val="21"/>
        </w:rPr>
        <w:t>2.法定代表人授权委托书（附件2）</w:t>
      </w:r>
    </w:p>
    <w:p>
      <w:pPr>
        <w:rPr>
          <w:rFonts w:ascii="宋体" w:hAnsi="宋体" w:cs="宋体"/>
          <w:szCs w:val="21"/>
        </w:rPr>
      </w:pPr>
      <w:r>
        <w:rPr>
          <w:rFonts w:hint="eastAsia" w:ascii="宋体" w:hAnsi="宋体" w:cs="宋体"/>
          <w:szCs w:val="21"/>
        </w:rPr>
        <w:t>3.投标方信息表（附件3）</w:t>
      </w:r>
    </w:p>
    <w:p>
      <w:pPr>
        <w:rPr>
          <w:rFonts w:ascii="宋体" w:hAnsi="宋体" w:cs="宋体"/>
          <w:szCs w:val="21"/>
        </w:rPr>
      </w:pPr>
      <w:r>
        <w:rPr>
          <w:rFonts w:hint="eastAsia" w:ascii="宋体" w:hAnsi="宋体" w:cs="宋体"/>
          <w:szCs w:val="21"/>
        </w:rPr>
        <w:t>4.技术规格偏离表（附件4）</w:t>
      </w:r>
    </w:p>
    <w:p>
      <w:pPr>
        <w:rPr>
          <w:rFonts w:ascii="宋体" w:hAnsi="宋体" w:cs="宋体"/>
          <w:szCs w:val="21"/>
        </w:rPr>
      </w:pPr>
      <w:r>
        <w:rPr>
          <w:rFonts w:hint="eastAsia" w:ascii="宋体" w:hAnsi="宋体" w:cs="宋体"/>
          <w:szCs w:val="21"/>
        </w:rPr>
        <w:t>5.报价一览表（附件5）</w:t>
      </w:r>
    </w:p>
    <w:p>
      <w:pPr>
        <w:rPr>
          <w:rFonts w:ascii="宋体" w:hAnsi="宋体" w:cs="宋体"/>
          <w:szCs w:val="21"/>
        </w:rPr>
      </w:pPr>
      <w:r>
        <w:rPr>
          <w:rFonts w:hint="eastAsia" w:ascii="宋体" w:hAnsi="宋体" w:cs="宋体"/>
          <w:szCs w:val="21"/>
        </w:rPr>
        <w:t>6.报价明细表（附件6）</w:t>
      </w:r>
    </w:p>
    <w:p>
      <w:pPr>
        <w:rPr>
          <w:rFonts w:ascii="宋体" w:hAnsi="宋体" w:cs="宋体"/>
          <w:szCs w:val="21"/>
        </w:rPr>
      </w:pPr>
      <w:r>
        <w:rPr>
          <w:rFonts w:hint="eastAsia" w:ascii="宋体" w:hAnsi="宋体" w:cs="宋体"/>
          <w:szCs w:val="21"/>
        </w:rPr>
        <w:t>7.合同条款偏离表（附件7）</w:t>
      </w:r>
    </w:p>
    <w:p>
      <w:pPr>
        <w:rPr>
          <w:rFonts w:ascii="宋体" w:hAnsi="宋体" w:cs="宋体"/>
          <w:szCs w:val="21"/>
        </w:rPr>
      </w:pPr>
      <w:r>
        <w:rPr>
          <w:rFonts w:hint="eastAsia" w:ascii="宋体" w:hAnsi="宋体" w:cs="宋体"/>
          <w:szCs w:val="21"/>
        </w:rPr>
        <w:t>8.供应商质量基本要求偏离表（附件8 ）</w:t>
      </w:r>
    </w:p>
    <w:p>
      <w:pPr>
        <w:rPr>
          <w:rFonts w:ascii="宋体" w:hAnsi="宋体" w:cs="宋体"/>
          <w:szCs w:val="21"/>
        </w:rPr>
      </w:pPr>
    </w:p>
    <w:p>
      <w:pPr>
        <w:rPr>
          <w:rFonts w:ascii="宋体" w:hAnsi="宋体" w:cs="宋体"/>
          <w:szCs w:val="21"/>
        </w:rPr>
      </w:pPr>
      <w:r>
        <w:rPr>
          <w:rFonts w:hint="eastAsia" w:ascii="宋体" w:hAnsi="宋体" w:cs="宋体"/>
          <w:szCs w:val="21"/>
        </w:rPr>
        <w:t>具体见附件</w:t>
      </w:r>
    </w:p>
    <w:p>
      <w:pPr>
        <w:overflowPunct w:val="0"/>
        <w:spacing w:line="360" w:lineRule="auto"/>
        <w:jc w:val="center"/>
        <w:outlineLvl w:val="0"/>
        <w:rPr>
          <w:rStyle w:val="36"/>
          <w:sz w:val="28"/>
          <w:szCs w:val="28"/>
        </w:rPr>
      </w:pPr>
      <w:r>
        <w:rPr>
          <w:b/>
          <w:spacing w:val="4"/>
          <w:sz w:val="18"/>
        </w:rPr>
        <w:br w:type="page"/>
      </w:r>
      <w:r>
        <w:rPr>
          <w:rStyle w:val="36"/>
          <w:sz w:val="28"/>
          <w:szCs w:val="28"/>
        </w:rPr>
        <w:t>第</w:t>
      </w:r>
      <w:r>
        <w:rPr>
          <w:rStyle w:val="36"/>
          <w:rFonts w:hint="eastAsia"/>
          <w:sz w:val="28"/>
          <w:szCs w:val="28"/>
        </w:rPr>
        <w:t>三</w:t>
      </w:r>
      <w:r>
        <w:rPr>
          <w:rStyle w:val="36"/>
          <w:sz w:val="28"/>
          <w:szCs w:val="28"/>
        </w:rPr>
        <w:t>章</w:t>
      </w:r>
      <w:r>
        <w:rPr>
          <w:rStyle w:val="36"/>
          <w:rFonts w:hint="eastAsia"/>
          <w:sz w:val="28"/>
          <w:szCs w:val="28"/>
        </w:rPr>
        <w:t xml:space="preserve"> 招标技术要求</w:t>
      </w:r>
    </w:p>
    <w:p>
      <w:pPr>
        <w:overflowPunct w:val="0"/>
        <w:spacing w:line="360" w:lineRule="auto"/>
        <w:outlineLvl w:val="0"/>
        <w:rPr>
          <w:kern w:val="0"/>
          <w:sz w:val="24"/>
          <w:szCs w:val="20"/>
        </w:rPr>
      </w:pPr>
    </w:p>
    <w:tbl>
      <w:tblPr>
        <w:tblStyle w:val="23"/>
        <w:tblW w:w="8969" w:type="dxa"/>
        <w:jc w:val="center"/>
        <w:tblLayout w:type="fixed"/>
        <w:tblCellMar>
          <w:top w:w="0" w:type="dxa"/>
          <w:left w:w="108" w:type="dxa"/>
          <w:bottom w:w="0" w:type="dxa"/>
          <w:right w:w="108" w:type="dxa"/>
        </w:tblCellMar>
      </w:tblPr>
      <w:tblGrid>
        <w:gridCol w:w="1292"/>
        <w:gridCol w:w="1476"/>
        <w:gridCol w:w="1512"/>
        <w:gridCol w:w="1929"/>
        <w:gridCol w:w="1430"/>
        <w:gridCol w:w="1330"/>
      </w:tblGrid>
      <w:tr>
        <w:tblPrEx>
          <w:tblCellMar>
            <w:top w:w="0" w:type="dxa"/>
            <w:left w:w="108" w:type="dxa"/>
            <w:bottom w:w="0" w:type="dxa"/>
            <w:right w:w="108" w:type="dxa"/>
          </w:tblCellMar>
        </w:tblPrEx>
        <w:trPr>
          <w:trHeight w:val="323" w:hRule="atLeast"/>
          <w:jc w:val="center"/>
        </w:trPr>
        <w:tc>
          <w:tcPr>
            <w:tcW w:w="8969" w:type="dxa"/>
            <w:gridSpan w:val="6"/>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人造石墨  三元体系</w:t>
            </w:r>
          </w:p>
        </w:tc>
      </w:tr>
      <w:tr>
        <w:tblPrEx>
          <w:tblCellMar>
            <w:top w:w="0" w:type="dxa"/>
            <w:left w:w="108" w:type="dxa"/>
            <w:bottom w:w="0" w:type="dxa"/>
            <w:right w:w="108" w:type="dxa"/>
          </w:tblCellMar>
        </w:tblPrEx>
        <w:trPr>
          <w:trHeight w:val="323"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项目</w:t>
            </w:r>
          </w:p>
        </w:tc>
        <w:tc>
          <w:tcPr>
            <w:tcW w:w="147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等线" w:hAnsi="等线" w:eastAsia="等线"/>
                <w:sz w:val="22"/>
                <w:lang w:val="en-US" w:eastAsia="zh-CN"/>
              </w:rPr>
            </w:pPr>
            <w:r>
              <w:rPr>
                <w:rFonts w:hint="eastAsia" w:ascii="等线" w:hAnsi="等线" w:eastAsia="等线"/>
                <w:sz w:val="22"/>
                <w:lang w:val="en-US" w:eastAsia="zh-CN"/>
              </w:rPr>
              <w:t>项目一(长循环</w:t>
            </w:r>
            <w:r>
              <w:rPr>
                <w:rFonts w:hint="eastAsia" w:ascii="等线" w:hAnsi="等线" w:eastAsia="等线"/>
                <w:sz w:val="22"/>
              </w:rPr>
              <w:t>EV</w:t>
            </w:r>
            <w:r>
              <w:rPr>
                <w:rFonts w:hint="eastAsia" w:ascii="等线" w:hAnsi="等线" w:eastAsia="等线"/>
                <w:sz w:val="22"/>
                <w:lang w:val="en-US" w:eastAsia="zh-CN"/>
              </w:rPr>
              <w:t>)</w:t>
            </w: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等线" w:hAnsi="等线" w:eastAsia="等线"/>
                <w:sz w:val="22"/>
                <w:lang w:val="en-US" w:eastAsia="zh-CN"/>
              </w:rPr>
            </w:pPr>
            <w:r>
              <w:rPr>
                <w:rFonts w:hint="eastAsia" w:ascii="等线" w:hAnsi="等线" w:eastAsia="等线"/>
                <w:sz w:val="22"/>
                <w:lang w:val="en-US" w:eastAsia="zh-CN"/>
              </w:rPr>
              <w:t>项目二（短循环</w:t>
            </w:r>
            <w:r>
              <w:rPr>
                <w:rFonts w:hint="eastAsia" w:ascii="等线" w:hAnsi="等线" w:eastAsia="等线"/>
                <w:sz w:val="22"/>
              </w:rPr>
              <w:t>EV</w:t>
            </w:r>
            <w:r>
              <w:rPr>
                <w:rFonts w:hint="eastAsia" w:ascii="等线" w:hAnsi="等线" w:eastAsia="等线"/>
                <w:sz w:val="22"/>
                <w:lang w:val="en-US" w:eastAsia="zh-CN"/>
              </w:rPr>
              <w:t>)</w:t>
            </w:r>
          </w:p>
        </w:tc>
        <w:tc>
          <w:tcPr>
            <w:tcW w:w="19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等线" w:hAnsi="等线" w:eastAsia="等线"/>
                <w:sz w:val="22"/>
                <w:lang w:eastAsia="zh-CN"/>
              </w:rPr>
            </w:pPr>
            <w:r>
              <w:rPr>
                <w:rFonts w:hint="eastAsia" w:ascii="等线" w:hAnsi="等线" w:eastAsia="等线"/>
                <w:sz w:val="22"/>
                <w:lang w:val="en-US" w:eastAsia="zh-CN"/>
              </w:rPr>
              <w:t>项目三（</w:t>
            </w:r>
            <w:r>
              <w:rPr>
                <w:rFonts w:hint="eastAsia" w:ascii="等线" w:hAnsi="等线" w:eastAsia="等线"/>
                <w:sz w:val="22"/>
              </w:rPr>
              <w:t>PHEV</w:t>
            </w:r>
            <w:r>
              <w:rPr>
                <w:rFonts w:hint="eastAsia" w:ascii="等线" w:hAnsi="等线" w:eastAsia="等线"/>
                <w:sz w:val="22"/>
                <w:lang w:eastAsia="zh-CN"/>
              </w:rPr>
              <w:t>）</w:t>
            </w:r>
          </w:p>
        </w:tc>
        <w:tc>
          <w:tcPr>
            <w:tcW w:w="14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等线" w:hAnsi="等线" w:eastAsia="等线"/>
                <w:sz w:val="22"/>
                <w:lang w:eastAsia="zh-CN"/>
              </w:rPr>
            </w:pPr>
            <w:r>
              <w:rPr>
                <w:rFonts w:hint="eastAsia" w:ascii="等线" w:hAnsi="等线" w:eastAsia="等线"/>
                <w:sz w:val="22"/>
                <w:lang w:val="en-US" w:eastAsia="zh-CN"/>
              </w:rPr>
              <w:t>项目四（高容量</w:t>
            </w:r>
            <w:r>
              <w:rPr>
                <w:rFonts w:hint="eastAsia" w:ascii="等线" w:hAnsi="等线" w:eastAsia="等线"/>
                <w:sz w:val="22"/>
              </w:rPr>
              <w:t>HEV</w:t>
            </w:r>
            <w:r>
              <w:rPr>
                <w:rFonts w:hint="eastAsia" w:ascii="等线" w:hAnsi="等线" w:eastAsia="等线"/>
                <w:sz w:val="22"/>
                <w:lang w:eastAsia="zh-CN"/>
              </w:rPr>
              <w:t>）</w:t>
            </w: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等线" w:hAnsi="等线" w:eastAsia="等线"/>
                <w:sz w:val="22"/>
                <w:lang w:val="en-US" w:eastAsia="zh-CN"/>
              </w:rPr>
            </w:pPr>
            <w:r>
              <w:rPr>
                <w:rFonts w:hint="eastAsia" w:ascii="等线" w:hAnsi="等线" w:eastAsia="等线"/>
                <w:sz w:val="22"/>
                <w:lang w:val="en-US" w:eastAsia="zh-CN"/>
              </w:rPr>
              <w:t>项目五（高容量</w:t>
            </w:r>
            <w:r>
              <w:rPr>
                <w:rFonts w:hint="eastAsia" w:ascii="等线" w:hAnsi="等线" w:eastAsia="等线"/>
                <w:sz w:val="22"/>
              </w:rPr>
              <w:t>HEV</w:t>
            </w:r>
            <w:r>
              <w:rPr>
                <w:rFonts w:hint="eastAsia" w:ascii="等线" w:hAnsi="等线" w:eastAsia="等线"/>
                <w:sz w:val="22"/>
                <w:lang w:eastAsia="zh-CN"/>
              </w:rPr>
              <w:t>）</w:t>
            </w:r>
          </w:p>
        </w:tc>
      </w:tr>
      <w:tr>
        <w:tblPrEx>
          <w:tblCellMar>
            <w:top w:w="0" w:type="dxa"/>
            <w:left w:w="108" w:type="dxa"/>
            <w:bottom w:w="0" w:type="dxa"/>
            <w:right w:w="108" w:type="dxa"/>
          </w:tblCellMar>
        </w:tblPrEx>
        <w:trPr>
          <w:trHeight w:val="90"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容量</w:t>
            </w:r>
          </w:p>
        </w:tc>
        <w:tc>
          <w:tcPr>
            <w:tcW w:w="147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≥355</w:t>
            </w: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≥355</w:t>
            </w:r>
          </w:p>
        </w:tc>
        <w:tc>
          <w:tcPr>
            <w:tcW w:w="19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≥345</w:t>
            </w:r>
          </w:p>
        </w:tc>
        <w:tc>
          <w:tcPr>
            <w:tcW w:w="14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≥300</w:t>
            </w: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260-280</w:t>
            </w:r>
          </w:p>
        </w:tc>
      </w:tr>
      <w:tr>
        <w:tblPrEx>
          <w:tblCellMar>
            <w:top w:w="0" w:type="dxa"/>
            <w:left w:w="108" w:type="dxa"/>
            <w:bottom w:w="0" w:type="dxa"/>
            <w:right w:w="108" w:type="dxa"/>
          </w:tblCellMar>
        </w:tblPrEx>
        <w:trPr>
          <w:trHeight w:val="250"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石墨化</w:t>
            </w:r>
          </w:p>
        </w:tc>
        <w:tc>
          <w:tcPr>
            <w:tcW w:w="147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≥93</w:t>
            </w: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≥93</w:t>
            </w:r>
          </w:p>
        </w:tc>
        <w:tc>
          <w:tcPr>
            <w:tcW w:w="19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≥93</w:t>
            </w:r>
          </w:p>
        </w:tc>
        <w:tc>
          <w:tcPr>
            <w:tcW w:w="14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≤91、≥85</w:t>
            </w: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≥75、≤85</w:t>
            </w:r>
          </w:p>
        </w:tc>
      </w:tr>
      <w:tr>
        <w:tblPrEx>
          <w:tblCellMar>
            <w:top w:w="0" w:type="dxa"/>
            <w:left w:w="108" w:type="dxa"/>
            <w:bottom w:w="0" w:type="dxa"/>
            <w:right w:w="108" w:type="dxa"/>
          </w:tblCellMar>
        </w:tblPrEx>
        <w:trPr>
          <w:trHeight w:val="250"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首次效率</w:t>
            </w:r>
          </w:p>
        </w:tc>
        <w:tc>
          <w:tcPr>
            <w:tcW w:w="147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≥92</w:t>
            </w: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≥92</w:t>
            </w:r>
          </w:p>
        </w:tc>
        <w:tc>
          <w:tcPr>
            <w:tcW w:w="19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≥90</w:t>
            </w:r>
          </w:p>
        </w:tc>
        <w:tc>
          <w:tcPr>
            <w:tcW w:w="14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≥90</w:t>
            </w: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ascii="等线" w:hAnsi="等线" w:eastAsia="等线"/>
                <w:sz w:val="22"/>
              </w:rPr>
              <w:t>≥</w:t>
            </w:r>
            <w:r>
              <w:rPr>
                <w:rFonts w:hint="eastAsia" w:ascii="等线" w:hAnsi="等线" w:eastAsia="等线"/>
                <w:sz w:val="22"/>
              </w:rPr>
              <w:t>90</w:t>
            </w:r>
          </w:p>
        </w:tc>
      </w:tr>
      <w:tr>
        <w:tblPrEx>
          <w:tblCellMar>
            <w:top w:w="0" w:type="dxa"/>
            <w:left w:w="108" w:type="dxa"/>
            <w:bottom w:w="0" w:type="dxa"/>
            <w:right w:w="108" w:type="dxa"/>
          </w:tblCellMar>
        </w:tblPrEx>
        <w:trPr>
          <w:trHeight w:val="250"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粒度（D50）</w:t>
            </w:r>
          </w:p>
        </w:tc>
        <w:tc>
          <w:tcPr>
            <w:tcW w:w="147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≤20</w:t>
            </w: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≤20</w:t>
            </w:r>
          </w:p>
        </w:tc>
        <w:tc>
          <w:tcPr>
            <w:tcW w:w="19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≤17</w:t>
            </w:r>
          </w:p>
        </w:tc>
        <w:tc>
          <w:tcPr>
            <w:tcW w:w="14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15-20</w:t>
            </w: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6-10</w:t>
            </w:r>
          </w:p>
        </w:tc>
      </w:tr>
      <w:tr>
        <w:tblPrEx>
          <w:tblCellMar>
            <w:top w:w="0" w:type="dxa"/>
            <w:left w:w="108" w:type="dxa"/>
            <w:bottom w:w="0" w:type="dxa"/>
            <w:right w:w="108" w:type="dxa"/>
          </w:tblCellMar>
        </w:tblPrEx>
        <w:trPr>
          <w:trHeight w:val="250"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压实</w:t>
            </w:r>
          </w:p>
        </w:tc>
        <w:tc>
          <w:tcPr>
            <w:tcW w:w="147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≥1.6（烘烤反弹＜7%）</w:t>
            </w: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≥1.6（烘烤反弹＜7%）</w:t>
            </w:r>
          </w:p>
        </w:tc>
        <w:tc>
          <w:tcPr>
            <w:tcW w:w="19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≥1.55（烘烤反弹＜7%）</w:t>
            </w:r>
          </w:p>
        </w:tc>
        <w:tc>
          <w:tcPr>
            <w:tcW w:w="14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≥1.4</w:t>
            </w: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ascii="等线" w:hAnsi="等线" w:eastAsia="等线"/>
                <w:sz w:val="22"/>
              </w:rPr>
              <w:t>≥</w:t>
            </w:r>
            <w:r>
              <w:rPr>
                <w:rFonts w:hint="eastAsia" w:ascii="等线" w:hAnsi="等线" w:eastAsia="等线"/>
                <w:sz w:val="22"/>
              </w:rPr>
              <w:t>1.4</w:t>
            </w:r>
          </w:p>
        </w:tc>
      </w:tr>
      <w:tr>
        <w:tblPrEx>
          <w:tblCellMar>
            <w:top w:w="0" w:type="dxa"/>
            <w:left w:w="108" w:type="dxa"/>
            <w:bottom w:w="0" w:type="dxa"/>
            <w:right w:w="108" w:type="dxa"/>
          </w:tblCellMar>
        </w:tblPrEx>
        <w:trPr>
          <w:trHeight w:val="250"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快充倍率</w:t>
            </w:r>
          </w:p>
        </w:tc>
        <w:tc>
          <w:tcPr>
            <w:tcW w:w="147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1-2C</w:t>
            </w: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1-2C</w:t>
            </w:r>
          </w:p>
        </w:tc>
        <w:tc>
          <w:tcPr>
            <w:tcW w:w="19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2-4C</w:t>
            </w:r>
          </w:p>
        </w:tc>
        <w:tc>
          <w:tcPr>
            <w:tcW w:w="2760" w:type="dxa"/>
            <w:gridSpan w:val="2"/>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10C</w:t>
            </w:r>
          </w:p>
        </w:tc>
      </w:tr>
      <w:tr>
        <w:tblPrEx>
          <w:tblCellMar>
            <w:top w:w="0" w:type="dxa"/>
            <w:left w:w="108" w:type="dxa"/>
            <w:bottom w:w="0" w:type="dxa"/>
            <w:right w:w="108" w:type="dxa"/>
          </w:tblCellMar>
        </w:tblPrEx>
        <w:trPr>
          <w:trHeight w:val="250"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循环</w:t>
            </w:r>
          </w:p>
        </w:tc>
        <w:tc>
          <w:tcPr>
            <w:tcW w:w="147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4500次（1C 25℃）</w:t>
            </w: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2000次（1C 25℃）</w:t>
            </w:r>
          </w:p>
        </w:tc>
        <w:tc>
          <w:tcPr>
            <w:tcW w:w="192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5000次（2C 25℃）</w:t>
            </w:r>
          </w:p>
        </w:tc>
        <w:tc>
          <w:tcPr>
            <w:tcW w:w="2760" w:type="dxa"/>
            <w:gridSpan w:val="2"/>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2000次（4C 45℃）</w:t>
            </w:r>
          </w:p>
        </w:tc>
      </w:tr>
      <w:tr>
        <w:tblPrEx>
          <w:tblCellMar>
            <w:top w:w="0" w:type="dxa"/>
            <w:left w:w="108" w:type="dxa"/>
            <w:bottom w:w="0" w:type="dxa"/>
            <w:right w:w="108" w:type="dxa"/>
          </w:tblCellMar>
        </w:tblPrEx>
        <w:trPr>
          <w:trHeight w:val="250"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量产情况</w:t>
            </w:r>
          </w:p>
        </w:tc>
        <w:tc>
          <w:tcPr>
            <w:tcW w:w="7677" w:type="dxa"/>
            <w:gridSpan w:val="5"/>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ascii="等线" w:hAnsi="等线" w:eastAsia="等线"/>
                <w:sz w:val="22"/>
              </w:rPr>
              <w:t>小试</w:t>
            </w:r>
            <w:r>
              <w:rPr>
                <w:rFonts w:hint="eastAsia" w:ascii="等线" w:hAnsi="等线" w:eastAsia="等线"/>
                <w:sz w:val="22"/>
              </w:rPr>
              <w:t>、</w:t>
            </w:r>
            <w:r>
              <w:rPr>
                <w:rFonts w:ascii="等线" w:hAnsi="等线" w:eastAsia="等线"/>
                <w:sz w:val="22"/>
              </w:rPr>
              <w:t>中试</w:t>
            </w:r>
            <w:r>
              <w:rPr>
                <w:rFonts w:hint="eastAsia" w:ascii="等线" w:hAnsi="等线" w:eastAsia="等线"/>
                <w:sz w:val="22"/>
              </w:rPr>
              <w:t>、</w:t>
            </w:r>
            <w:r>
              <w:rPr>
                <w:rFonts w:ascii="等线" w:hAnsi="等线" w:eastAsia="等线"/>
                <w:sz w:val="22"/>
              </w:rPr>
              <w:t>量产</w:t>
            </w:r>
          </w:p>
        </w:tc>
      </w:tr>
      <w:tr>
        <w:tblPrEx>
          <w:tblCellMar>
            <w:top w:w="0" w:type="dxa"/>
            <w:left w:w="108" w:type="dxa"/>
            <w:bottom w:w="0" w:type="dxa"/>
            <w:right w:w="108" w:type="dxa"/>
          </w:tblCellMar>
        </w:tblPrEx>
        <w:trPr>
          <w:trHeight w:val="250" w:hRule="atLeast"/>
          <w:jc w:val="center"/>
        </w:trPr>
        <w:tc>
          <w:tcPr>
            <w:tcW w:w="12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情况简介</w:t>
            </w:r>
          </w:p>
        </w:tc>
        <w:tc>
          <w:tcPr>
            <w:tcW w:w="7677" w:type="dxa"/>
            <w:gridSpan w:val="5"/>
            <w:tcBorders>
              <w:top w:val="single" w:color="auto" w:sz="6" w:space="0"/>
              <w:left w:val="single" w:color="auto" w:sz="6" w:space="0"/>
              <w:bottom w:val="single" w:color="auto" w:sz="6" w:space="0"/>
              <w:right w:val="single" w:color="auto" w:sz="6" w:space="0"/>
            </w:tcBorders>
          </w:tcPr>
          <w:p>
            <w:pPr>
              <w:autoSpaceDE w:val="0"/>
              <w:autoSpaceDN w:val="0"/>
              <w:jc w:val="center"/>
              <w:rPr>
                <w:rFonts w:ascii="等线" w:hAnsi="等线" w:eastAsia="等线"/>
                <w:sz w:val="22"/>
              </w:rPr>
            </w:pPr>
            <w:r>
              <w:rPr>
                <w:rFonts w:hint="eastAsia" w:ascii="等线" w:hAnsi="等线" w:eastAsia="等线"/>
                <w:sz w:val="22"/>
              </w:rPr>
              <w:t>投标材料客户应用情况（性能、出货量）</w:t>
            </w:r>
          </w:p>
        </w:tc>
      </w:tr>
    </w:tbl>
    <w:p>
      <w:pPr>
        <w:overflowPunct w:val="0"/>
        <w:spacing w:line="360" w:lineRule="auto"/>
        <w:jc w:val="both"/>
        <w:outlineLvl w:val="0"/>
        <w:rPr>
          <w:kern w:val="0"/>
          <w:sz w:val="24"/>
          <w:szCs w:val="20"/>
        </w:rPr>
      </w:pPr>
    </w:p>
    <w:tbl>
      <w:tblPr>
        <w:tblStyle w:val="2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9"/>
        <w:gridCol w:w="282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eastAsia="宋体"/>
                <w:szCs w:val="21"/>
                <w:lang w:val="en-US" w:eastAsia="zh-CN"/>
              </w:rPr>
            </w:pPr>
            <w:r>
              <w:rPr>
                <w:rFonts w:hint="eastAsia" w:ascii="等线" w:hAnsi="等线" w:eastAsia="等线"/>
                <w:sz w:val="22"/>
              </w:rPr>
              <w:t xml:space="preserve">人造石墨  </w:t>
            </w:r>
            <w:r>
              <w:rPr>
                <w:rFonts w:hint="eastAsia" w:ascii="等线" w:hAnsi="等线" w:eastAsia="等线"/>
                <w:sz w:val="22"/>
                <w:lang w:val="en-US" w:eastAsia="zh-CN"/>
              </w:rPr>
              <w:t>磷酸铁锂</w:t>
            </w:r>
            <w:r>
              <w:rPr>
                <w:rFonts w:hint="eastAsia" w:ascii="等线" w:hAnsi="等线" w:eastAsia="等线"/>
                <w:sz w:val="22"/>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eastAsia="宋体"/>
                <w:szCs w:val="21"/>
                <w:lang w:val="en-US" w:eastAsia="zh-CN"/>
              </w:rPr>
            </w:pPr>
            <w:r>
              <w:rPr>
                <w:rFonts w:hint="eastAsia"/>
                <w:szCs w:val="21"/>
                <w:lang w:val="en-US" w:eastAsia="zh-CN"/>
              </w:rPr>
              <w:t>项目一（</w:t>
            </w:r>
            <w:r>
              <w:rPr>
                <w:rFonts w:hint="eastAsia"/>
                <w:kern w:val="0"/>
                <w:sz w:val="24"/>
              </w:rPr>
              <w:t>常规系列</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项目</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指标</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极片压实密度</w:t>
            </w:r>
            <w:r>
              <w:rPr>
                <w:kern w:val="0"/>
                <w:szCs w:val="21"/>
              </w:rPr>
              <w:t>(g/cm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≥1.50</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振实密度(g/cm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1.1±0.1</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比表面积( m</w:t>
            </w:r>
            <w:r>
              <w:rPr>
                <w:kern w:val="0"/>
                <w:szCs w:val="21"/>
                <w:vertAlign w:val="superscript"/>
              </w:rPr>
              <w:t>2</w:t>
            </w:r>
            <w:r>
              <w:rPr>
                <w:kern w:val="0"/>
                <w:szCs w:val="21"/>
              </w:rPr>
              <w:t>/g)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1.5±0.5</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灰分(%)</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18" w:type="dxa"/>
            <w:vMerge w:val="restart"/>
            <w:tcBorders>
              <w:top w:val="single" w:color="auto" w:sz="4" w:space="0"/>
              <w:left w:val="single" w:color="auto" w:sz="4" w:space="0"/>
              <w:right w:val="single" w:color="auto" w:sz="4" w:space="0"/>
            </w:tcBorders>
            <w:vAlign w:val="center"/>
          </w:tcPr>
          <w:p>
            <w:pPr>
              <w:jc w:val="center"/>
              <w:outlineLvl w:val="0"/>
              <w:rPr>
                <w:szCs w:val="21"/>
              </w:rPr>
            </w:pPr>
            <w:r>
              <w:rPr>
                <w:kern w:val="0"/>
                <w:szCs w:val="21"/>
              </w:rPr>
              <w:t>粒度*(μm)</w:t>
            </w:r>
          </w:p>
        </w:tc>
        <w:tc>
          <w:tcPr>
            <w:tcW w:w="1849" w:type="dxa"/>
            <w:vAlign w:val="center"/>
          </w:tcPr>
          <w:p>
            <w:pPr>
              <w:jc w:val="center"/>
              <w:rPr>
                <w:kern w:val="0"/>
                <w:szCs w:val="21"/>
              </w:rPr>
            </w:pPr>
            <w:r>
              <w:rPr>
                <w:kern w:val="0"/>
                <w:szCs w:val="21"/>
              </w:rPr>
              <w:t>D10</w:t>
            </w:r>
          </w:p>
        </w:tc>
        <w:tc>
          <w:tcPr>
            <w:tcW w:w="2829" w:type="dxa"/>
            <w:vAlign w:val="center"/>
          </w:tcPr>
          <w:p>
            <w:pPr>
              <w:jc w:val="center"/>
              <w:rPr>
                <w:kern w:val="0"/>
                <w:szCs w:val="21"/>
              </w:rPr>
            </w:pPr>
            <w:r>
              <w:rPr>
                <w:kern w:val="0"/>
                <w:szCs w:val="21"/>
              </w:rPr>
              <w:t>≥6.0</w:t>
            </w:r>
          </w:p>
        </w:tc>
        <w:tc>
          <w:tcPr>
            <w:tcW w:w="2835" w:type="dxa"/>
            <w:vMerge w:val="restart"/>
            <w:tcBorders>
              <w:top w:val="single" w:color="auto" w:sz="4" w:space="0"/>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D50</w:t>
            </w:r>
          </w:p>
        </w:tc>
        <w:tc>
          <w:tcPr>
            <w:tcW w:w="2829" w:type="dxa"/>
            <w:vAlign w:val="center"/>
          </w:tcPr>
          <w:p>
            <w:pPr>
              <w:jc w:val="center"/>
              <w:rPr>
                <w:kern w:val="0"/>
                <w:szCs w:val="21"/>
              </w:rPr>
            </w:pPr>
            <w:r>
              <w:rPr>
                <w:kern w:val="0"/>
                <w:szCs w:val="21"/>
              </w:rPr>
              <w:t>16±2</w:t>
            </w:r>
          </w:p>
        </w:tc>
        <w:tc>
          <w:tcPr>
            <w:tcW w:w="2835"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D90</w:t>
            </w:r>
          </w:p>
        </w:tc>
        <w:tc>
          <w:tcPr>
            <w:tcW w:w="2829" w:type="dxa"/>
            <w:vAlign w:val="center"/>
          </w:tcPr>
          <w:p>
            <w:pPr>
              <w:jc w:val="center"/>
              <w:rPr>
                <w:kern w:val="0"/>
                <w:szCs w:val="21"/>
              </w:rPr>
            </w:pPr>
            <w:r>
              <w:rPr>
                <w:kern w:val="0"/>
                <w:szCs w:val="21"/>
              </w:rPr>
              <w:t>≤36</w:t>
            </w:r>
          </w:p>
        </w:tc>
        <w:tc>
          <w:tcPr>
            <w:tcW w:w="2835"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18" w:type="dxa"/>
            <w:vMerge w:val="continue"/>
            <w:tcBorders>
              <w:left w:val="single" w:color="auto" w:sz="4" w:space="0"/>
              <w:bottom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Dmax</w:t>
            </w:r>
          </w:p>
        </w:tc>
        <w:tc>
          <w:tcPr>
            <w:tcW w:w="2829" w:type="dxa"/>
            <w:vAlign w:val="center"/>
          </w:tcPr>
          <w:p>
            <w:pPr>
              <w:jc w:val="center"/>
              <w:rPr>
                <w:kern w:val="0"/>
                <w:szCs w:val="21"/>
              </w:rPr>
            </w:pPr>
            <w:r>
              <w:rPr>
                <w:kern w:val="0"/>
                <w:szCs w:val="21"/>
              </w:rPr>
              <w:t>≤60</w:t>
            </w:r>
          </w:p>
        </w:tc>
        <w:tc>
          <w:tcPr>
            <w:tcW w:w="2835"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0.1C首次放电比容量（mAh/g）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≥340</w:t>
            </w:r>
          </w:p>
        </w:tc>
        <w:tc>
          <w:tcPr>
            <w:tcW w:w="2835" w:type="dxa"/>
            <w:vMerge w:val="restart"/>
            <w:tcBorders>
              <w:top w:val="single" w:color="auto" w:sz="4" w:space="0"/>
              <w:left w:val="single" w:color="auto" w:sz="4" w:space="0"/>
              <w:right w:val="single" w:color="auto" w:sz="4" w:space="0"/>
            </w:tcBorders>
            <w:vAlign w:val="center"/>
          </w:tcPr>
          <w:p>
            <w:pPr>
              <w:jc w:val="center"/>
              <w:rPr>
                <w:color w:val="000000"/>
                <w:szCs w:val="21"/>
              </w:rPr>
            </w:pPr>
            <w:r>
              <w:rPr>
                <w:color w:val="000000"/>
                <w:szCs w:val="21"/>
              </w:rPr>
              <w:t>扣式半电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首次效率(%)</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≥92</w:t>
            </w:r>
          </w:p>
        </w:tc>
        <w:tc>
          <w:tcPr>
            <w:tcW w:w="2835" w:type="dxa"/>
            <w:vMerge w:val="continue"/>
            <w:tcBorders>
              <w:left w:val="single" w:color="auto" w:sz="4" w:space="0"/>
              <w:bottom w:val="single" w:color="auto" w:sz="4" w:space="0"/>
              <w:right w:val="single" w:color="auto" w:sz="4" w:space="0"/>
            </w:tcBorders>
            <w:vAlign w:val="center"/>
          </w:tcPr>
          <w:p>
            <w:pPr>
              <w:jc w:val="center"/>
              <w:rPr>
                <w:szCs w:val="21"/>
              </w:rPr>
            </w:pPr>
          </w:p>
        </w:tc>
      </w:tr>
    </w:tbl>
    <w:p>
      <w:pPr>
        <w:overflowPunct w:val="0"/>
        <w:spacing w:line="360" w:lineRule="auto"/>
        <w:jc w:val="both"/>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tbl>
      <w:tblPr>
        <w:tblStyle w:val="2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9"/>
        <w:gridCol w:w="282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szCs w:val="21"/>
              </w:rPr>
            </w:pPr>
            <w:r>
              <w:rPr>
                <w:rFonts w:hint="eastAsia" w:ascii="等线" w:hAnsi="等线" w:eastAsia="等线"/>
                <w:sz w:val="22"/>
              </w:rPr>
              <w:t xml:space="preserve">人造石墨  </w:t>
            </w:r>
            <w:r>
              <w:rPr>
                <w:rFonts w:hint="eastAsia" w:ascii="等线" w:hAnsi="等线" w:eastAsia="等线"/>
                <w:sz w:val="22"/>
                <w:lang w:val="en-US" w:eastAsia="zh-CN"/>
              </w:rPr>
              <w:t>磷酸铁锂</w:t>
            </w:r>
            <w:r>
              <w:rPr>
                <w:rFonts w:hint="eastAsia" w:ascii="等线" w:hAnsi="等线" w:eastAsia="等线"/>
                <w:sz w:val="22"/>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eastAsia="宋体"/>
                <w:szCs w:val="21"/>
                <w:lang w:val="en-US" w:eastAsia="zh-CN"/>
              </w:rPr>
            </w:pPr>
            <w:r>
              <w:rPr>
                <w:rFonts w:hint="eastAsia"/>
                <w:szCs w:val="21"/>
                <w:lang w:val="en-US" w:eastAsia="zh-CN"/>
              </w:rPr>
              <w:t>项目二（高压实系列）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项目</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指标</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极片压实密度</w:t>
            </w:r>
            <w:r>
              <w:rPr>
                <w:kern w:val="0"/>
                <w:szCs w:val="21"/>
              </w:rPr>
              <w:t>(g/cm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≥1.60</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振实密度(g/cm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≥0.9</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比表面积( m</w:t>
            </w:r>
            <w:r>
              <w:rPr>
                <w:kern w:val="0"/>
                <w:szCs w:val="21"/>
                <w:vertAlign w:val="superscript"/>
              </w:rPr>
              <w:t>2</w:t>
            </w:r>
            <w:r>
              <w:rPr>
                <w:kern w:val="0"/>
                <w:szCs w:val="21"/>
              </w:rPr>
              <w:t>/g)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1.8±0.5</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灰分(%)</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18" w:type="dxa"/>
            <w:vMerge w:val="restart"/>
            <w:tcBorders>
              <w:top w:val="single" w:color="auto" w:sz="4" w:space="0"/>
              <w:left w:val="single" w:color="auto" w:sz="4" w:space="0"/>
              <w:right w:val="single" w:color="auto" w:sz="4" w:space="0"/>
            </w:tcBorders>
            <w:vAlign w:val="center"/>
          </w:tcPr>
          <w:p>
            <w:pPr>
              <w:jc w:val="center"/>
              <w:outlineLvl w:val="0"/>
              <w:rPr>
                <w:szCs w:val="21"/>
              </w:rPr>
            </w:pPr>
            <w:r>
              <w:rPr>
                <w:kern w:val="0"/>
                <w:szCs w:val="21"/>
              </w:rPr>
              <w:t>粒度*(μm)</w:t>
            </w:r>
          </w:p>
        </w:tc>
        <w:tc>
          <w:tcPr>
            <w:tcW w:w="1849" w:type="dxa"/>
            <w:vAlign w:val="center"/>
          </w:tcPr>
          <w:p>
            <w:pPr>
              <w:jc w:val="center"/>
              <w:rPr>
                <w:kern w:val="0"/>
                <w:szCs w:val="21"/>
              </w:rPr>
            </w:pPr>
            <w:r>
              <w:rPr>
                <w:kern w:val="0"/>
                <w:szCs w:val="21"/>
              </w:rPr>
              <w:t>D10</w:t>
            </w:r>
          </w:p>
        </w:tc>
        <w:tc>
          <w:tcPr>
            <w:tcW w:w="2829" w:type="dxa"/>
            <w:vAlign w:val="center"/>
          </w:tcPr>
          <w:p>
            <w:pPr>
              <w:jc w:val="center"/>
              <w:rPr>
                <w:kern w:val="0"/>
                <w:szCs w:val="21"/>
              </w:rPr>
            </w:pPr>
            <w:r>
              <w:rPr>
                <w:kern w:val="0"/>
                <w:szCs w:val="21"/>
              </w:rPr>
              <w:t>≥4.0</w:t>
            </w:r>
          </w:p>
        </w:tc>
        <w:tc>
          <w:tcPr>
            <w:tcW w:w="2835" w:type="dxa"/>
            <w:vMerge w:val="restart"/>
            <w:tcBorders>
              <w:top w:val="single" w:color="auto" w:sz="4" w:space="0"/>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D50</w:t>
            </w:r>
          </w:p>
        </w:tc>
        <w:tc>
          <w:tcPr>
            <w:tcW w:w="2829" w:type="dxa"/>
            <w:vAlign w:val="center"/>
          </w:tcPr>
          <w:p>
            <w:pPr>
              <w:jc w:val="center"/>
              <w:rPr>
                <w:kern w:val="0"/>
                <w:szCs w:val="21"/>
              </w:rPr>
            </w:pPr>
            <w:r>
              <w:rPr>
                <w:kern w:val="0"/>
                <w:szCs w:val="21"/>
              </w:rPr>
              <w:t>12±3</w:t>
            </w:r>
          </w:p>
        </w:tc>
        <w:tc>
          <w:tcPr>
            <w:tcW w:w="2835"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D90</w:t>
            </w:r>
          </w:p>
        </w:tc>
        <w:tc>
          <w:tcPr>
            <w:tcW w:w="2829" w:type="dxa"/>
            <w:vAlign w:val="center"/>
          </w:tcPr>
          <w:p>
            <w:pPr>
              <w:jc w:val="center"/>
              <w:rPr>
                <w:kern w:val="0"/>
                <w:szCs w:val="21"/>
              </w:rPr>
            </w:pPr>
            <w:r>
              <w:rPr>
                <w:kern w:val="0"/>
                <w:szCs w:val="21"/>
              </w:rPr>
              <w:t>≤30</w:t>
            </w:r>
          </w:p>
        </w:tc>
        <w:tc>
          <w:tcPr>
            <w:tcW w:w="2835"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18" w:type="dxa"/>
            <w:vMerge w:val="continue"/>
            <w:tcBorders>
              <w:left w:val="single" w:color="auto" w:sz="4" w:space="0"/>
              <w:bottom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Dmax</w:t>
            </w:r>
          </w:p>
        </w:tc>
        <w:tc>
          <w:tcPr>
            <w:tcW w:w="2829" w:type="dxa"/>
            <w:vAlign w:val="center"/>
          </w:tcPr>
          <w:p>
            <w:pPr>
              <w:jc w:val="center"/>
              <w:rPr>
                <w:kern w:val="0"/>
                <w:szCs w:val="21"/>
              </w:rPr>
            </w:pPr>
            <w:r>
              <w:rPr>
                <w:kern w:val="0"/>
                <w:szCs w:val="21"/>
              </w:rPr>
              <w:t>≤60</w:t>
            </w:r>
          </w:p>
        </w:tc>
        <w:tc>
          <w:tcPr>
            <w:tcW w:w="2835"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0.1C首次放电比容量（mAh/g）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≥350</w:t>
            </w:r>
          </w:p>
        </w:tc>
        <w:tc>
          <w:tcPr>
            <w:tcW w:w="2835" w:type="dxa"/>
            <w:vMerge w:val="restart"/>
            <w:tcBorders>
              <w:top w:val="single" w:color="auto" w:sz="4" w:space="0"/>
              <w:left w:val="single" w:color="auto" w:sz="4" w:space="0"/>
              <w:right w:val="single" w:color="auto" w:sz="4" w:space="0"/>
            </w:tcBorders>
            <w:vAlign w:val="center"/>
          </w:tcPr>
          <w:p>
            <w:pPr>
              <w:jc w:val="center"/>
              <w:rPr>
                <w:color w:val="000000"/>
                <w:szCs w:val="21"/>
              </w:rPr>
            </w:pPr>
            <w:r>
              <w:rPr>
                <w:color w:val="000000"/>
                <w:szCs w:val="21"/>
              </w:rPr>
              <w:t>扣式半电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首次效率(%)</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≥93</w:t>
            </w:r>
          </w:p>
        </w:tc>
        <w:tc>
          <w:tcPr>
            <w:tcW w:w="2835" w:type="dxa"/>
            <w:vMerge w:val="continue"/>
            <w:tcBorders>
              <w:left w:val="single" w:color="auto" w:sz="4" w:space="0"/>
              <w:bottom w:val="single" w:color="auto" w:sz="4" w:space="0"/>
              <w:right w:val="single" w:color="auto" w:sz="4" w:space="0"/>
            </w:tcBorders>
            <w:vAlign w:val="center"/>
          </w:tcPr>
          <w:p>
            <w:pPr>
              <w:jc w:val="center"/>
              <w:rPr>
                <w:szCs w:val="21"/>
              </w:rPr>
            </w:pPr>
          </w:p>
        </w:tc>
      </w:tr>
    </w:tbl>
    <w:p>
      <w:pPr>
        <w:overflowPunct w:val="0"/>
        <w:spacing w:line="360" w:lineRule="auto"/>
        <w:jc w:val="both"/>
        <w:outlineLvl w:val="0"/>
        <w:rPr>
          <w:kern w:val="0"/>
          <w:sz w:val="24"/>
          <w:szCs w:val="20"/>
        </w:rPr>
      </w:pPr>
    </w:p>
    <w:tbl>
      <w:tblPr>
        <w:tblStyle w:val="2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9"/>
        <w:gridCol w:w="282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szCs w:val="21"/>
              </w:rPr>
            </w:pPr>
            <w:r>
              <w:rPr>
                <w:rFonts w:hint="eastAsia" w:ascii="等线" w:hAnsi="等线" w:eastAsia="等线"/>
                <w:sz w:val="22"/>
              </w:rPr>
              <w:t xml:space="preserve">人造石墨  </w:t>
            </w:r>
            <w:r>
              <w:rPr>
                <w:rFonts w:hint="eastAsia" w:ascii="等线" w:hAnsi="等线" w:eastAsia="等线"/>
                <w:sz w:val="22"/>
                <w:lang w:val="en-US" w:eastAsia="zh-CN"/>
              </w:rPr>
              <w:t>磷酸铁锂</w:t>
            </w:r>
            <w:r>
              <w:rPr>
                <w:rFonts w:hint="eastAsia" w:ascii="等线" w:hAnsi="等线" w:eastAsia="等线"/>
                <w:sz w:val="22"/>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eastAsia="宋体"/>
                <w:szCs w:val="21"/>
                <w:lang w:val="en-US" w:eastAsia="zh-CN"/>
              </w:rPr>
            </w:pPr>
            <w:r>
              <w:rPr>
                <w:rFonts w:hint="eastAsia"/>
                <w:szCs w:val="21"/>
                <w:lang w:val="en-US" w:eastAsia="zh-CN"/>
              </w:rPr>
              <w:t>项目三（低成本系列）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项目</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指标</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极片压实密度</w:t>
            </w:r>
            <w:r>
              <w:rPr>
                <w:kern w:val="0"/>
                <w:szCs w:val="21"/>
              </w:rPr>
              <w:t>(g/cm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≥1.50</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振实密度(g/cm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≥0.9</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比表面积( m</w:t>
            </w:r>
            <w:r>
              <w:rPr>
                <w:kern w:val="0"/>
                <w:szCs w:val="21"/>
                <w:vertAlign w:val="superscript"/>
              </w:rPr>
              <w:t>2</w:t>
            </w:r>
            <w:r>
              <w:rPr>
                <w:kern w:val="0"/>
                <w:szCs w:val="21"/>
              </w:rPr>
              <w:t>/g)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1.8±0.5</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灰分(%)</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18" w:type="dxa"/>
            <w:vMerge w:val="restart"/>
            <w:tcBorders>
              <w:top w:val="single" w:color="auto" w:sz="4" w:space="0"/>
              <w:left w:val="single" w:color="auto" w:sz="4" w:space="0"/>
              <w:right w:val="single" w:color="auto" w:sz="4" w:space="0"/>
            </w:tcBorders>
            <w:vAlign w:val="center"/>
          </w:tcPr>
          <w:p>
            <w:pPr>
              <w:jc w:val="center"/>
              <w:outlineLvl w:val="0"/>
              <w:rPr>
                <w:szCs w:val="21"/>
              </w:rPr>
            </w:pPr>
            <w:r>
              <w:rPr>
                <w:kern w:val="0"/>
                <w:szCs w:val="21"/>
              </w:rPr>
              <w:t>粒度*(μm)</w:t>
            </w:r>
          </w:p>
        </w:tc>
        <w:tc>
          <w:tcPr>
            <w:tcW w:w="1849" w:type="dxa"/>
            <w:vAlign w:val="center"/>
          </w:tcPr>
          <w:p>
            <w:pPr>
              <w:jc w:val="center"/>
              <w:rPr>
                <w:kern w:val="0"/>
                <w:szCs w:val="21"/>
              </w:rPr>
            </w:pPr>
            <w:r>
              <w:rPr>
                <w:kern w:val="0"/>
                <w:szCs w:val="21"/>
              </w:rPr>
              <w:t>D10</w:t>
            </w:r>
          </w:p>
        </w:tc>
        <w:tc>
          <w:tcPr>
            <w:tcW w:w="2829" w:type="dxa"/>
            <w:vAlign w:val="center"/>
          </w:tcPr>
          <w:p>
            <w:pPr>
              <w:jc w:val="center"/>
              <w:rPr>
                <w:kern w:val="0"/>
                <w:szCs w:val="21"/>
              </w:rPr>
            </w:pPr>
            <w:r>
              <w:rPr>
                <w:kern w:val="0"/>
                <w:szCs w:val="21"/>
              </w:rPr>
              <w:t>≥5.0</w:t>
            </w:r>
          </w:p>
        </w:tc>
        <w:tc>
          <w:tcPr>
            <w:tcW w:w="2835" w:type="dxa"/>
            <w:vMerge w:val="restart"/>
            <w:tcBorders>
              <w:top w:val="single" w:color="auto" w:sz="4" w:space="0"/>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D50</w:t>
            </w:r>
          </w:p>
        </w:tc>
        <w:tc>
          <w:tcPr>
            <w:tcW w:w="2829" w:type="dxa"/>
            <w:vAlign w:val="center"/>
          </w:tcPr>
          <w:p>
            <w:pPr>
              <w:jc w:val="center"/>
              <w:rPr>
                <w:kern w:val="0"/>
                <w:szCs w:val="21"/>
              </w:rPr>
            </w:pPr>
            <w:r>
              <w:rPr>
                <w:kern w:val="0"/>
                <w:szCs w:val="21"/>
              </w:rPr>
              <w:t>14~17</w:t>
            </w:r>
          </w:p>
        </w:tc>
        <w:tc>
          <w:tcPr>
            <w:tcW w:w="2835"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D90</w:t>
            </w:r>
          </w:p>
        </w:tc>
        <w:tc>
          <w:tcPr>
            <w:tcW w:w="2829" w:type="dxa"/>
            <w:vAlign w:val="center"/>
          </w:tcPr>
          <w:p>
            <w:pPr>
              <w:jc w:val="center"/>
              <w:rPr>
                <w:kern w:val="0"/>
                <w:szCs w:val="21"/>
              </w:rPr>
            </w:pPr>
            <w:r>
              <w:rPr>
                <w:kern w:val="0"/>
                <w:szCs w:val="21"/>
              </w:rPr>
              <w:t>≤35</w:t>
            </w:r>
          </w:p>
        </w:tc>
        <w:tc>
          <w:tcPr>
            <w:tcW w:w="2835"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18" w:type="dxa"/>
            <w:vMerge w:val="continue"/>
            <w:tcBorders>
              <w:left w:val="single" w:color="auto" w:sz="4" w:space="0"/>
              <w:bottom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Dmax</w:t>
            </w:r>
          </w:p>
        </w:tc>
        <w:tc>
          <w:tcPr>
            <w:tcW w:w="2829" w:type="dxa"/>
            <w:vAlign w:val="center"/>
          </w:tcPr>
          <w:p>
            <w:pPr>
              <w:jc w:val="center"/>
              <w:rPr>
                <w:kern w:val="0"/>
                <w:szCs w:val="21"/>
              </w:rPr>
            </w:pPr>
            <w:r>
              <w:rPr>
                <w:kern w:val="0"/>
                <w:szCs w:val="21"/>
              </w:rPr>
              <w:t>≤60</w:t>
            </w:r>
          </w:p>
        </w:tc>
        <w:tc>
          <w:tcPr>
            <w:tcW w:w="2835"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0.1C首次放电比容量（mAh/g）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≥340</w:t>
            </w:r>
          </w:p>
        </w:tc>
        <w:tc>
          <w:tcPr>
            <w:tcW w:w="2835" w:type="dxa"/>
            <w:vMerge w:val="restart"/>
            <w:tcBorders>
              <w:top w:val="single" w:color="auto" w:sz="4" w:space="0"/>
              <w:left w:val="single" w:color="auto" w:sz="4" w:space="0"/>
              <w:right w:val="single" w:color="auto" w:sz="4" w:space="0"/>
            </w:tcBorders>
            <w:vAlign w:val="center"/>
          </w:tcPr>
          <w:p>
            <w:pPr>
              <w:jc w:val="center"/>
              <w:rPr>
                <w:color w:val="000000"/>
                <w:szCs w:val="21"/>
              </w:rPr>
            </w:pPr>
            <w:r>
              <w:rPr>
                <w:color w:val="000000"/>
                <w:szCs w:val="21"/>
              </w:rPr>
              <w:t>扣式半电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首次效率(%)</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≥92</w:t>
            </w:r>
          </w:p>
        </w:tc>
        <w:tc>
          <w:tcPr>
            <w:tcW w:w="2835" w:type="dxa"/>
            <w:vMerge w:val="continue"/>
            <w:tcBorders>
              <w:left w:val="single" w:color="auto" w:sz="4" w:space="0"/>
              <w:bottom w:val="single" w:color="auto" w:sz="4" w:space="0"/>
              <w:right w:val="single" w:color="auto" w:sz="4" w:space="0"/>
            </w:tcBorders>
            <w:vAlign w:val="center"/>
          </w:tcPr>
          <w:p>
            <w:pPr>
              <w:jc w:val="center"/>
              <w:rPr>
                <w:szCs w:val="21"/>
              </w:rPr>
            </w:pPr>
          </w:p>
        </w:tc>
      </w:tr>
      <w:bookmarkEnd w:id="10"/>
      <w:bookmarkEnd w:id="11"/>
      <w:bookmarkEnd w:id="12"/>
    </w:tbl>
    <w:p>
      <w:pPr>
        <w:overflowPunct w:val="0"/>
        <w:spacing w:line="360" w:lineRule="auto"/>
        <w:jc w:val="center"/>
        <w:outlineLvl w:val="0"/>
        <w:rPr>
          <w:rStyle w:val="36"/>
          <w:sz w:val="28"/>
          <w:szCs w:val="28"/>
        </w:rPr>
      </w:pPr>
      <w:r>
        <w:rPr>
          <w:rStyle w:val="36"/>
          <w:rFonts w:hint="eastAsia"/>
          <w:sz w:val="28"/>
          <w:szCs w:val="28"/>
        </w:rPr>
        <w:t>第四章 合同条款要求</w:t>
      </w:r>
    </w:p>
    <w:p>
      <w:pPr>
        <w:adjustRightInd w:val="0"/>
        <w:snapToGrid w:val="0"/>
        <w:spacing w:line="400" w:lineRule="exact"/>
        <w:jc w:val="center"/>
        <w:rPr>
          <w:rFonts w:hint="eastAsia"/>
          <w:b/>
          <w:spacing w:val="4"/>
          <w:sz w:val="36"/>
          <w:szCs w:val="36"/>
        </w:rPr>
      </w:pPr>
    </w:p>
    <w:p>
      <w:pPr>
        <w:adjustRightInd w:val="0"/>
        <w:snapToGrid w:val="0"/>
        <w:spacing w:line="400" w:lineRule="exact"/>
        <w:jc w:val="center"/>
        <w:rPr>
          <w:b/>
          <w:spacing w:val="4"/>
          <w:sz w:val="28"/>
          <w:szCs w:val="28"/>
        </w:rPr>
      </w:pPr>
      <w:r>
        <w:rPr>
          <w:rFonts w:hint="eastAsia"/>
          <w:b/>
          <w:spacing w:val="4"/>
          <w:sz w:val="28"/>
          <w:szCs w:val="28"/>
        </w:rPr>
        <w:t>采购框架协议</w:t>
      </w:r>
    </w:p>
    <w:p>
      <w:pPr>
        <w:adjustRightInd w:val="0"/>
        <w:snapToGrid w:val="0"/>
        <w:spacing w:line="400" w:lineRule="exact"/>
        <w:ind w:left="210" w:leftChars="100"/>
        <w:rPr>
          <w:rFonts w:ascii="宋体" w:hAnsi="宋体"/>
          <w:b/>
          <w:szCs w:val="21"/>
        </w:rPr>
      </w:pPr>
      <w:r>
        <w:rPr>
          <w:rFonts w:ascii="宋体" w:hAnsi="宋体"/>
          <w:b/>
          <w:szCs w:val="21"/>
        </w:rPr>
        <w:pict>
          <v:shape id="_x0000_s1026" o:spid="_x0000_s1026" o:spt="202" type="#_x0000_t202" style="position:absolute;left:0pt;margin-left:315.3pt;margin-top:16pt;height:40.5pt;width:159.75pt;z-index:251658240;mso-width-relative:page;mso-height-relative:page;" stroked="f" coordsize="21600,21600">
            <v:path/>
            <v:fill focussize="0,0"/>
            <v:stroke on="f" joinstyle="miter"/>
            <v:imagedata o:title=""/>
            <o:lock v:ext="edit"/>
            <v:textbox>
              <w:txbxContent>
                <w:p>
                  <w:pPr>
                    <w:adjustRightInd w:val="0"/>
                    <w:snapToGrid w:val="0"/>
                    <w:spacing w:line="360" w:lineRule="auto"/>
                    <w:rPr>
                      <w:rFonts w:ascii="宋体" w:hAnsi="宋体"/>
                      <w:spacing w:val="4"/>
                      <w:szCs w:val="20"/>
                    </w:rPr>
                  </w:pPr>
                  <w:r>
                    <w:rPr>
                      <w:rFonts w:hint="eastAsia" w:ascii="宋体" w:hAnsi="宋体"/>
                      <w:spacing w:val="4"/>
                      <w:szCs w:val="20"/>
                    </w:rPr>
                    <w:t>合同编号：</w:t>
                  </w:r>
                </w:p>
                <w:p>
                  <w:pPr>
                    <w:adjustRightInd w:val="0"/>
                    <w:snapToGrid w:val="0"/>
                    <w:spacing w:line="360" w:lineRule="auto"/>
                    <w:rPr>
                      <w:spacing w:val="4"/>
                      <w:sz w:val="18"/>
                      <w:szCs w:val="20"/>
                    </w:rPr>
                  </w:pPr>
                  <w:r>
                    <w:rPr>
                      <w:rFonts w:hint="eastAsia" w:ascii="宋体" w:hAnsi="宋体"/>
                      <w:spacing w:val="4"/>
                      <w:szCs w:val="20"/>
                    </w:rPr>
                    <w:t>签订日期：【】年【】月【】日</w:t>
                  </w:r>
                </w:p>
                <w:p/>
              </w:txbxContent>
            </v:textbox>
          </v:shape>
        </w:pict>
      </w:r>
    </w:p>
    <w:p>
      <w:pPr>
        <w:adjustRightInd w:val="0"/>
        <w:snapToGrid w:val="0"/>
        <w:spacing w:line="480" w:lineRule="auto"/>
        <w:ind w:left="210" w:leftChars="100"/>
        <w:rPr>
          <w:rFonts w:ascii="宋体" w:hAnsi="宋体"/>
          <w:b/>
          <w:szCs w:val="21"/>
        </w:rPr>
      </w:pPr>
      <w:r>
        <w:rPr>
          <w:rFonts w:hint="eastAsia" w:ascii="宋体" w:hAnsi="宋体"/>
          <w:b/>
          <w:szCs w:val="21"/>
        </w:rPr>
        <w:t>甲方：荣盛盟固利新能源科技有限公司</w:t>
      </w:r>
      <w:r>
        <w:rPr>
          <w:rFonts w:ascii="宋体" w:hAnsi="宋体"/>
          <w:b/>
          <w:szCs w:val="21"/>
        </w:rPr>
        <w:br w:type="textWrapping"/>
      </w:r>
      <w:r>
        <w:rPr>
          <w:rFonts w:hint="eastAsia" w:ascii="宋体" w:hAnsi="宋体"/>
          <w:b/>
          <w:szCs w:val="21"/>
        </w:rPr>
        <w:t>乙方：</w:t>
      </w:r>
      <w:r>
        <w:rPr>
          <w:rFonts w:ascii="宋体" w:hAnsi="宋体"/>
          <w:b/>
          <w:szCs w:val="21"/>
        </w:rPr>
        <w:t xml:space="preserve"> </w:t>
      </w:r>
    </w:p>
    <w:p>
      <w:pPr>
        <w:adjustRightInd w:val="0"/>
        <w:snapToGrid w:val="0"/>
        <w:spacing w:line="400" w:lineRule="exact"/>
        <w:ind w:firstLine="436" w:firstLineChars="200"/>
        <w:rPr>
          <w:rFonts w:ascii="宋体" w:hAnsi="宋体"/>
          <w:spacing w:val="4"/>
          <w:szCs w:val="21"/>
        </w:rPr>
      </w:pPr>
      <w:r>
        <w:rPr>
          <w:rFonts w:ascii="宋体" w:hAnsi="宋体"/>
          <w:spacing w:val="4"/>
          <w:szCs w:val="21"/>
        </w:rPr>
        <w:t>根据《中华人民共和国合同法》</w:t>
      </w:r>
      <w:r>
        <w:rPr>
          <w:rFonts w:hint="eastAsia" w:ascii="宋体" w:hAnsi="宋体"/>
          <w:spacing w:val="4"/>
          <w:szCs w:val="21"/>
        </w:rPr>
        <w:t>及</w:t>
      </w:r>
      <w:r>
        <w:rPr>
          <w:rFonts w:ascii="宋体" w:hAnsi="宋体"/>
          <w:spacing w:val="4"/>
          <w:szCs w:val="21"/>
        </w:rPr>
        <w:t>《中华人民共和国产品质量法》的有关规定，</w:t>
      </w:r>
      <w:r>
        <w:rPr>
          <w:rFonts w:hint="eastAsia" w:ascii="宋体" w:hAnsi="宋体"/>
          <w:spacing w:val="4"/>
          <w:szCs w:val="21"/>
        </w:rPr>
        <w:t>甲、乙</w:t>
      </w:r>
      <w:r>
        <w:rPr>
          <w:rFonts w:ascii="宋体" w:hAnsi="宋体"/>
          <w:spacing w:val="4"/>
          <w:szCs w:val="21"/>
        </w:rPr>
        <w:t>双方在平等自愿的基础上，就以下产品购销事宜达成如下一致协议</w:t>
      </w:r>
      <w:r>
        <w:rPr>
          <w:rFonts w:hint="eastAsia" w:ascii="宋体" w:hAnsi="宋体"/>
          <w:spacing w:val="4"/>
          <w:szCs w:val="21"/>
        </w:rPr>
        <w:t>：</w:t>
      </w:r>
    </w:p>
    <w:p>
      <w:pPr>
        <w:pStyle w:val="40"/>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总则：</w:t>
      </w:r>
    </w:p>
    <w:p>
      <w:pPr>
        <w:numPr>
          <w:ilvl w:val="0"/>
          <w:numId w:val="7"/>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1 乙方保证全部按照合同条款规定的交期向甲方提供合格的产品和服务。</w:t>
      </w:r>
    </w:p>
    <w:p>
      <w:pPr>
        <w:numPr>
          <w:ilvl w:val="0"/>
          <w:numId w:val="8"/>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2 甲方保证按照合同条款规定的时间和方式给乙方支付应付的货款。</w:t>
      </w:r>
    </w:p>
    <w:p>
      <w:pPr>
        <w:numPr>
          <w:ilvl w:val="0"/>
          <w:numId w:val="9"/>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3 双方签订的《技术协议》、《质量协议》和采购订单是本协议不可分割的一部分</w:t>
      </w:r>
      <w:r>
        <w:rPr>
          <w:rFonts w:hint="eastAsia" w:asciiTheme="minorEastAsia" w:hAnsiTheme="minorEastAsia" w:eastAsiaTheme="minorEastAsia"/>
          <w:spacing w:val="4"/>
          <w:szCs w:val="21"/>
        </w:rPr>
        <w:t>，与本协议具有同等法律效力</w:t>
      </w:r>
      <w:r>
        <w:rPr>
          <w:rFonts w:hint="eastAsia" w:ascii="宋体" w:hAnsi="宋体"/>
          <w:spacing w:val="4"/>
          <w:szCs w:val="21"/>
        </w:rPr>
        <w:t>。</w:t>
      </w:r>
    </w:p>
    <w:p>
      <w:pPr>
        <w:pStyle w:val="40"/>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产品名称、型号价格：</w:t>
      </w:r>
    </w:p>
    <w:p>
      <w:pPr>
        <w:adjustRightInd w:val="0"/>
        <w:snapToGrid w:val="0"/>
        <w:spacing w:line="400" w:lineRule="exact"/>
        <w:ind w:left="441" w:leftChars="210"/>
        <w:rPr>
          <w:rFonts w:ascii="宋体" w:hAnsi="宋体"/>
          <w:bCs/>
          <w:spacing w:val="4"/>
          <w:szCs w:val="21"/>
        </w:rPr>
      </w:pPr>
      <w:r>
        <w:rPr>
          <w:rFonts w:hint="eastAsia" w:ascii="宋体" w:hAnsi="宋体"/>
          <w:bCs/>
          <w:spacing w:val="4"/>
          <w:szCs w:val="21"/>
        </w:rPr>
        <w:t>2.1 供货明细表（到厂价，含13%增值税）</w:t>
      </w:r>
    </w:p>
    <w:tbl>
      <w:tblPr>
        <w:tblStyle w:val="23"/>
        <w:tblpPr w:leftFromText="180" w:rightFromText="180" w:vertAnchor="text" w:horzAnchor="page" w:tblpX="1582" w:tblpY="217"/>
        <w:tblOverlap w:val="never"/>
        <w:tblW w:w="828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80"/>
        <w:gridCol w:w="1450"/>
        <w:gridCol w:w="1580"/>
        <w:gridCol w:w="1554"/>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right"/>
        </w:trPr>
        <w:tc>
          <w:tcPr>
            <w:tcW w:w="840" w:type="dxa"/>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080" w:type="dxa"/>
          </w:tcPr>
          <w:p>
            <w:pPr>
              <w:widowControl/>
              <w:spacing w:line="400" w:lineRule="exact"/>
              <w:jc w:val="center"/>
              <w:rPr>
                <w:rFonts w:ascii="宋体" w:hAnsi="宋体" w:cs="宋体"/>
                <w:kern w:val="0"/>
                <w:szCs w:val="21"/>
              </w:rPr>
            </w:pPr>
            <w:r>
              <w:rPr>
                <w:rFonts w:hint="eastAsia" w:ascii="宋体" w:hAnsi="宋体" w:cs="宋体"/>
                <w:kern w:val="0"/>
                <w:szCs w:val="21"/>
              </w:rPr>
              <w:t>名称</w:t>
            </w:r>
          </w:p>
        </w:tc>
        <w:tc>
          <w:tcPr>
            <w:tcW w:w="1450" w:type="dxa"/>
          </w:tcPr>
          <w:p>
            <w:pPr>
              <w:widowControl/>
              <w:spacing w:line="400" w:lineRule="exact"/>
              <w:jc w:val="center"/>
              <w:rPr>
                <w:rFonts w:ascii="宋体" w:hAnsi="宋体" w:cs="宋体"/>
                <w:kern w:val="0"/>
                <w:szCs w:val="21"/>
              </w:rPr>
            </w:pPr>
            <w:r>
              <w:rPr>
                <w:rFonts w:hint="eastAsia" w:ascii="宋体" w:hAnsi="宋体" w:cs="宋体"/>
                <w:kern w:val="0"/>
                <w:szCs w:val="21"/>
              </w:rPr>
              <w:t>规格</w:t>
            </w:r>
          </w:p>
        </w:tc>
        <w:tc>
          <w:tcPr>
            <w:tcW w:w="1580" w:type="dxa"/>
          </w:tcPr>
          <w:p>
            <w:pPr>
              <w:widowControl/>
              <w:spacing w:line="400" w:lineRule="exact"/>
              <w:jc w:val="center"/>
              <w:rPr>
                <w:rFonts w:ascii="宋体" w:hAnsi="宋体" w:cs="宋体"/>
                <w:kern w:val="0"/>
                <w:szCs w:val="21"/>
              </w:rPr>
            </w:pPr>
            <w:r>
              <w:rPr>
                <w:rFonts w:hint="eastAsia" w:ascii="宋体" w:hAnsi="宋体" w:cs="宋体"/>
                <w:kern w:val="0"/>
                <w:szCs w:val="21"/>
              </w:rPr>
              <w:t>价格（含13%税）/元</w:t>
            </w:r>
          </w:p>
        </w:tc>
        <w:tc>
          <w:tcPr>
            <w:tcW w:w="1554" w:type="dxa"/>
          </w:tcPr>
          <w:p>
            <w:pPr>
              <w:widowControl/>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电汇贴息比例</w:t>
            </w:r>
          </w:p>
        </w:tc>
        <w:tc>
          <w:tcPr>
            <w:tcW w:w="1783" w:type="dxa"/>
          </w:tcPr>
          <w:p>
            <w:pPr>
              <w:spacing w:line="400" w:lineRule="exact"/>
              <w:jc w:val="center"/>
              <w:rPr>
                <w:rFonts w:ascii="宋体" w:hAnsi="宋体" w:cs="宋体"/>
                <w:kern w:val="0"/>
                <w:szCs w:val="21"/>
              </w:rPr>
            </w:pPr>
            <w:r>
              <w:rPr>
                <w:rFonts w:hint="eastAsia" w:ascii="宋体" w:hAnsi="宋体" w:cs="宋体"/>
                <w:kern w:val="0"/>
                <w:szCs w:val="21"/>
              </w:rPr>
              <w:t>月供应量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right"/>
        </w:trPr>
        <w:tc>
          <w:tcPr>
            <w:tcW w:w="840" w:type="dxa"/>
          </w:tcPr>
          <w:p>
            <w:pPr>
              <w:spacing w:line="400" w:lineRule="exact"/>
              <w:jc w:val="center"/>
              <w:rPr>
                <w:rFonts w:ascii="宋体" w:hAnsi="宋体" w:cs="宋体"/>
                <w:szCs w:val="21"/>
              </w:rPr>
            </w:pPr>
            <w:r>
              <w:rPr>
                <w:rFonts w:hint="eastAsia" w:ascii="宋体" w:hAnsi="宋体" w:cs="宋体"/>
                <w:szCs w:val="21"/>
              </w:rPr>
              <w:t>1</w:t>
            </w:r>
          </w:p>
        </w:tc>
        <w:tc>
          <w:tcPr>
            <w:tcW w:w="1080" w:type="dxa"/>
          </w:tcPr>
          <w:p>
            <w:pPr>
              <w:spacing w:line="400" w:lineRule="exact"/>
              <w:jc w:val="center"/>
              <w:rPr>
                <w:rFonts w:ascii="宋体" w:hAnsi="宋体" w:cs="宋体"/>
                <w:szCs w:val="21"/>
              </w:rPr>
            </w:pPr>
          </w:p>
        </w:tc>
        <w:tc>
          <w:tcPr>
            <w:tcW w:w="1450" w:type="dxa"/>
          </w:tcPr>
          <w:p>
            <w:pPr>
              <w:spacing w:line="400" w:lineRule="exact"/>
              <w:jc w:val="center"/>
              <w:rPr>
                <w:rFonts w:ascii="宋体" w:hAnsi="宋体" w:cs="宋体"/>
                <w:szCs w:val="21"/>
              </w:rPr>
            </w:pPr>
          </w:p>
        </w:tc>
        <w:tc>
          <w:tcPr>
            <w:tcW w:w="1580" w:type="dxa"/>
          </w:tcPr>
          <w:p>
            <w:pPr>
              <w:spacing w:line="400" w:lineRule="exact"/>
              <w:jc w:val="center"/>
              <w:rPr>
                <w:rFonts w:ascii="宋体" w:hAnsi="宋体" w:cs="宋体"/>
                <w:szCs w:val="21"/>
              </w:rPr>
            </w:pPr>
          </w:p>
        </w:tc>
        <w:tc>
          <w:tcPr>
            <w:tcW w:w="1554" w:type="dxa"/>
            <w:vMerge w:val="restart"/>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不低于2%</w:t>
            </w:r>
          </w:p>
        </w:tc>
        <w:tc>
          <w:tcPr>
            <w:tcW w:w="1783" w:type="dxa"/>
          </w:tcPr>
          <w:p>
            <w:pPr>
              <w:autoSpaceDN w:val="0"/>
              <w:spacing w:line="400" w:lineRule="exact"/>
              <w:ind w:left="39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right"/>
        </w:trPr>
        <w:tc>
          <w:tcPr>
            <w:tcW w:w="840" w:type="dxa"/>
          </w:tcPr>
          <w:p>
            <w:pPr>
              <w:spacing w:line="400" w:lineRule="exact"/>
              <w:jc w:val="center"/>
              <w:rPr>
                <w:rFonts w:ascii="宋体" w:hAnsi="宋体" w:cs="宋体"/>
                <w:szCs w:val="21"/>
              </w:rPr>
            </w:pPr>
            <w:r>
              <w:rPr>
                <w:rFonts w:hint="eastAsia" w:ascii="宋体" w:hAnsi="宋体" w:cs="宋体"/>
                <w:szCs w:val="21"/>
              </w:rPr>
              <w:t>2</w:t>
            </w:r>
          </w:p>
        </w:tc>
        <w:tc>
          <w:tcPr>
            <w:tcW w:w="1080" w:type="dxa"/>
          </w:tcPr>
          <w:p>
            <w:pPr>
              <w:spacing w:line="400" w:lineRule="exact"/>
              <w:jc w:val="center"/>
              <w:rPr>
                <w:rFonts w:ascii="宋体" w:hAnsi="宋体" w:cs="宋体"/>
                <w:szCs w:val="21"/>
              </w:rPr>
            </w:pPr>
          </w:p>
        </w:tc>
        <w:tc>
          <w:tcPr>
            <w:tcW w:w="1450" w:type="dxa"/>
          </w:tcPr>
          <w:p>
            <w:pPr>
              <w:spacing w:line="400" w:lineRule="exact"/>
              <w:jc w:val="center"/>
              <w:rPr>
                <w:rFonts w:ascii="宋体" w:hAnsi="宋体" w:cs="宋体"/>
                <w:szCs w:val="21"/>
              </w:rPr>
            </w:pPr>
          </w:p>
        </w:tc>
        <w:tc>
          <w:tcPr>
            <w:tcW w:w="1580" w:type="dxa"/>
          </w:tcPr>
          <w:p>
            <w:pPr>
              <w:spacing w:line="400" w:lineRule="exact"/>
              <w:jc w:val="center"/>
              <w:rPr>
                <w:rFonts w:ascii="宋体" w:hAnsi="宋体" w:cs="宋体"/>
                <w:szCs w:val="21"/>
              </w:rPr>
            </w:pPr>
          </w:p>
        </w:tc>
        <w:tc>
          <w:tcPr>
            <w:tcW w:w="1554" w:type="dxa"/>
            <w:vMerge w:val="continue"/>
          </w:tcPr>
          <w:p>
            <w:pPr>
              <w:spacing w:line="400" w:lineRule="exact"/>
              <w:jc w:val="center"/>
              <w:rPr>
                <w:rFonts w:ascii="宋体" w:hAnsi="宋体" w:cs="宋体"/>
                <w:szCs w:val="21"/>
              </w:rPr>
            </w:pPr>
          </w:p>
        </w:tc>
        <w:tc>
          <w:tcPr>
            <w:tcW w:w="1783" w:type="dxa"/>
          </w:tcPr>
          <w:p>
            <w:pPr>
              <w:autoSpaceDN w:val="0"/>
              <w:spacing w:line="400" w:lineRule="exact"/>
              <w:ind w:left="390"/>
              <w:jc w:val="center"/>
              <w:textAlignment w:val="center"/>
              <w:rPr>
                <w:rFonts w:ascii="宋体" w:hAnsi="宋体" w:cs="宋体"/>
                <w:szCs w:val="21"/>
              </w:rPr>
            </w:pPr>
          </w:p>
        </w:tc>
      </w:tr>
    </w:tbl>
    <w:p>
      <w:pPr>
        <w:spacing w:line="400" w:lineRule="exact"/>
        <w:rPr>
          <w:rFonts w:hint="eastAsia" w:ascii="宋体" w:hAnsi="宋体"/>
          <w:bCs/>
          <w:szCs w:val="21"/>
        </w:rPr>
      </w:pPr>
    </w:p>
    <w:p>
      <w:pPr>
        <w:spacing w:line="400" w:lineRule="exact"/>
        <w:rPr>
          <w:rFonts w:hint="eastAsia" w:ascii="宋体" w:hAnsi="宋体"/>
          <w:bCs/>
          <w:szCs w:val="21"/>
        </w:rPr>
      </w:pPr>
    </w:p>
    <w:p>
      <w:pPr>
        <w:spacing w:line="400" w:lineRule="exact"/>
        <w:ind w:firstLine="420" w:firstLineChars="200"/>
        <w:rPr>
          <w:rFonts w:ascii="宋体" w:hAnsi="宋体"/>
          <w:bCs/>
          <w:szCs w:val="21"/>
        </w:rPr>
      </w:pPr>
      <w:r>
        <w:rPr>
          <w:rFonts w:hint="eastAsia" w:ascii="宋体" w:hAnsi="宋体"/>
          <w:bCs/>
          <w:szCs w:val="21"/>
        </w:rPr>
        <w:t>备注：月供应量为乙方可供给甲方的每月产品用量而非乙方的产能。</w:t>
      </w:r>
    </w:p>
    <w:p>
      <w:pPr>
        <w:spacing w:line="400" w:lineRule="exact"/>
        <w:ind w:firstLine="420" w:firstLineChars="200"/>
        <w:rPr>
          <w:rFonts w:ascii="宋体" w:hAnsi="宋体"/>
          <w:szCs w:val="21"/>
        </w:rPr>
      </w:pPr>
      <w:r>
        <w:rPr>
          <w:rFonts w:hint="eastAsia" w:ascii="宋体" w:hAnsi="宋体"/>
          <w:bCs/>
          <w:szCs w:val="21"/>
        </w:rPr>
        <w:t>2.2</w:t>
      </w:r>
      <w:r>
        <w:rPr>
          <w:rFonts w:hint="eastAsia" w:ascii="宋体" w:hAnsi="宋体"/>
          <w:szCs w:val="21"/>
        </w:rPr>
        <w:t>本协议为固定单价合同，甲方按照实际需求向乙方发出采购订单，乙方确保在采购订单规定的时间内送达产品至甲方指定库房或者指定收货人。</w:t>
      </w:r>
    </w:p>
    <w:p>
      <w:pPr>
        <w:spacing w:line="400" w:lineRule="exact"/>
        <w:ind w:firstLine="420" w:firstLineChars="200"/>
        <w:rPr>
          <w:rFonts w:hint="eastAsia" w:ascii="宋体" w:hAnsi="宋体"/>
          <w:szCs w:val="21"/>
        </w:rPr>
      </w:pPr>
      <w:r>
        <w:rPr>
          <w:rFonts w:hint="eastAsia" w:ascii="宋体" w:hAnsi="宋体"/>
          <w:szCs w:val="21"/>
        </w:rPr>
        <w:t>甲方按照实际需求向乙方发出采购订单，乙方确保在采购订单规定的时间内送达产品至甲方指定库房或者指定收货人。</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2.3年中（6月份）和年底（12月份）可以议价，价格不许高于以往价格。</w:t>
      </w:r>
    </w:p>
    <w:p>
      <w:pPr>
        <w:adjustRightInd w:val="0"/>
        <w:snapToGrid w:val="0"/>
        <w:spacing w:line="400" w:lineRule="exact"/>
        <w:ind w:firstLine="420" w:firstLineChars="200"/>
        <w:rPr>
          <w:rFonts w:ascii="宋体" w:hAnsi="宋体"/>
          <w:szCs w:val="21"/>
          <w:lang w:val="zh-CN"/>
        </w:rPr>
      </w:pPr>
      <w:r>
        <w:rPr>
          <w:rFonts w:hint="eastAsia" w:ascii="宋体" w:hAnsi="宋体"/>
          <w:szCs w:val="21"/>
        </w:rPr>
        <w:t>2.4</w:t>
      </w:r>
      <w:r>
        <w:rPr>
          <w:rFonts w:hint="eastAsia" w:ascii="宋体" w:hAnsi="宋体"/>
          <w:szCs w:val="21"/>
          <w:lang w:val="zh-CN"/>
        </w:rPr>
        <w:t xml:space="preserve">甲方依据其需求情况，可以向乙方提供后续阶段的采购预测，此采购预测仅供乙方了解甲方后续需求情况之用。乙方应依据需求预测保障一定的供应弹性，进行合理备料，以满足甲方的需求预测。 </w:t>
      </w:r>
    </w:p>
    <w:p>
      <w:pPr>
        <w:spacing w:line="400" w:lineRule="exact"/>
        <w:ind w:firstLine="420" w:firstLineChars="200"/>
        <w:rPr>
          <w:rFonts w:ascii="宋体" w:hAnsi="宋体"/>
          <w:szCs w:val="21"/>
        </w:rPr>
      </w:pPr>
      <w:r>
        <w:rPr>
          <w:rFonts w:hint="eastAsia" w:ascii="宋体" w:hAnsi="宋体"/>
          <w:szCs w:val="21"/>
        </w:rPr>
        <w:t>2.5乙方生产上述产品所使用的原材料型号、厂家由甲乙双方共同确定，非经甲方同意，乙方不得擅自变更。</w:t>
      </w:r>
    </w:p>
    <w:p>
      <w:pPr>
        <w:adjustRightInd w:val="0"/>
        <w:snapToGrid w:val="0"/>
        <w:spacing w:line="400" w:lineRule="exact"/>
        <w:rPr>
          <w:rFonts w:ascii="宋体" w:hAnsi="宋体"/>
          <w:b/>
          <w:bCs/>
          <w:spacing w:val="4"/>
          <w:szCs w:val="21"/>
        </w:rPr>
      </w:pPr>
      <w:r>
        <w:rPr>
          <w:rFonts w:hint="eastAsia" w:ascii="宋体" w:hAnsi="宋体"/>
          <w:b/>
          <w:bCs/>
          <w:spacing w:val="4"/>
          <w:szCs w:val="21"/>
        </w:rPr>
        <w:t>3、采购订单</w:t>
      </w:r>
    </w:p>
    <w:p>
      <w:pPr>
        <w:spacing w:line="400" w:lineRule="exact"/>
        <w:ind w:firstLine="420" w:firstLineChars="200"/>
        <w:rPr>
          <w:rFonts w:ascii="宋体" w:hAnsi="宋体"/>
          <w:szCs w:val="21"/>
        </w:rPr>
      </w:pPr>
      <w:r>
        <w:rPr>
          <w:rFonts w:hint="eastAsia" w:ascii="宋体" w:hAnsi="宋体"/>
          <w:szCs w:val="21"/>
        </w:rPr>
        <w:t>3.1甲方根据需求向乙方发出采购订单，并在采购订单上注明所需产品的品名、规格型号、数量、币种、价格、交货期限和交货地点等。</w:t>
      </w:r>
      <w:bookmarkStart w:id="62" w:name="_Hlk508969622"/>
      <w:r>
        <w:rPr>
          <w:rFonts w:hint="eastAsia" w:ascii="宋体" w:hAnsi="宋体"/>
          <w:szCs w:val="21"/>
        </w:rPr>
        <w:t>采购订单为本协议的有效组成部分，受本协议条款的约束。</w:t>
      </w:r>
      <w:bookmarkEnd w:id="62"/>
    </w:p>
    <w:p>
      <w:pPr>
        <w:spacing w:line="400" w:lineRule="exact"/>
        <w:ind w:firstLine="420" w:firstLineChars="200"/>
        <w:rPr>
          <w:rFonts w:ascii="宋体" w:hAnsi="宋体"/>
          <w:szCs w:val="21"/>
        </w:rPr>
      </w:pPr>
      <w:r>
        <w:rPr>
          <w:rFonts w:hint="eastAsia" w:ascii="宋体" w:hAnsi="宋体"/>
          <w:szCs w:val="21"/>
        </w:rPr>
        <w:t xml:space="preserve">3.2采购订单发出后，乙方应在24小时（如该订单另有规定时效，则以订单规定时效为准）内向甲方确认接受采购订单，接受的形式为对采购订单内容不做任何修改，签字并加盖乙方公章后通过传真或电子邮件将扫描的采购订单发给甲方。如乙方不接受该采购订单，应在前述期间内提出异议；逾期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szCs w:val="21"/>
        </w:rPr>
      </w:pPr>
      <w:r>
        <w:rPr>
          <w:rFonts w:hint="eastAsia" w:ascii="宋体" w:hAnsi="宋体"/>
          <w:szCs w:val="21"/>
        </w:rPr>
        <w:t>3.3由于市场变化或其它不可预测因素导致甲方对产品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szCs w:val="21"/>
        </w:rPr>
      </w:pPr>
      <w:r>
        <w:rPr>
          <w:rFonts w:hint="eastAsia" w:ascii="宋体" w:hAnsi="宋体"/>
          <w:szCs w:val="21"/>
        </w:rPr>
        <w:t>3.4因乙方产品出现质量问题且此问题在短时间内无法解决，甲方</w:t>
      </w:r>
      <w:r>
        <w:rPr>
          <w:rFonts w:hint="eastAsia" w:asciiTheme="minorEastAsia" w:hAnsiTheme="minorEastAsia" w:eastAsiaTheme="minorEastAsia"/>
          <w:szCs w:val="21"/>
        </w:rPr>
        <w:t>有权</w:t>
      </w:r>
      <w:r>
        <w:rPr>
          <w:rFonts w:hint="eastAsia" w:ascii="宋体" w:hAnsi="宋体"/>
          <w:szCs w:val="21"/>
        </w:rPr>
        <w:t>取消向乙方发出的有关该产品的采购订单</w:t>
      </w:r>
      <w:r>
        <w:rPr>
          <w:rFonts w:hint="eastAsia" w:asciiTheme="minorEastAsia" w:hAnsiTheme="minorEastAsia" w:eastAsiaTheme="minorEastAsia"/>
          <w:szCs w:val="21"/>
        </w:rPr>
        <w:t>并且不承担任何违约责任</w:t>
      </w:r>
      <w:r>
        <w:rPr>
          <w:rFonts w:hint="eastAsia" w:ascii="宋体" w:hAnsi="宋体"/>
          <w:szCs w:val="21"/>
        </w:rPr>
        <w:t>。待乙方将产品质量问题解决后，</w:t>
      </w:r>
      <w:r>
        <w:rPr>
          <w:rFonts w:hint="eastAsia" w:asciiTheme="minorEastAsia" w:hAnsiTheme="minorEastAsia" w:eastAsiaTheme="minorEastAsia"/>
          <w:szCs w:val="21"/>
        </w:rPr>
        <w:t>重</w:t>
      </w:r>
      <w:r>
        <w:rPr>
          <w:rFonts w:hint="eastAsia" w:ascii="宋体" w:hAnsi="宋体"/>
          <w:szCs w:val="21"/>
        </w:rPr>
        <w:t>新</w:t>
      </w:r>
      <w:r>
        <w:rPr>
          <w:rFonts w:hint="eastAsia" w:asciiTheme="minorEastAsia" w:hAnsiTheme="minorEastAsia" w:eastAsiaTheme="minorEastAsia"/>
          <w:szCs w:val="21"/>
        </w:rPr>
        <w:t>发出</w:t>
      </w:r>
      <w:r>
        <w:rPr>
          <w:rFonts w:hint="eastAsia" w:ascii="宋体" w:hAnsi="宋体"/>
          <w:szCs w:val="21"/>
        </w:rPr>
        <w:t xml:space="preserve">采购订单。 </w:t>
      </w:r>
    </w:p>
    <w:p>
      <w:pPr>
        <w:adjustRightInd w:val="0"/>
        <w:snapToGrid w:val="0"/>
        <w:spacing w:line="400" w:lineRule="exact"/>
        <w:rPr>
          <w:rFonts w:ascii="宋体" w:hAnsi="宋体"/>
          <w:b/>
          <w:bCs/>
          <w:spacing w:val="4"/>
          <w:szCs w:val="21"/>
        </w:rPr>
      </w:pPr>
      <w:r>
        <w:rPr>
          <w:rFonts w:hint="eastAsia" w:ascii="宋体" w:hAnsi="宋体"/>
          <w:b/>
          <w:bCs/>
          <w:spacing w:val="4"/>
          <w:szCs w:val="21"/>
        </w:rPr>
        <w:t>4、付款方式及期限</w:t>
      </w:r>
    </w:p>
    <w:p>
      <w:pPr>
        <w:adjustRightInd w:val="0"/>
        <w:snapToGrid w:val="0"/>
        <w:spacing w:line="400" w:lineRule="exact"/>
        <w:ind w:firstLine="420" w:firstLineChars="200"/>
        <w:rPr>
          <w:rFonts w:ascii="宋体" w:hAnsi="宋体"/>
          <w:kern w:val="11"/>
          <w:highlight w:val="none"/>
        </w:rPr>
      </w:pPr>
      <w:r>
        <w:rPr>
          <w:rFonts w:hint="eastAsia" w:ascii="宋体" w:hAnsi="宋体"/>
          <w:szCs w:val="21"/>
          <w:highlight w:val="none"/>
        </w:rPr>
        <w:t>4.1</w:t>
      </w:r>
      <w:r>
        <w:rPr>
          <w:rFonts w:hint="eastAsia" w:ascii="宋体" w:hAnsi="宋体"/>
          <w:kern w:val="11"/>
          <w:highlight w:val="none"/>
        </w:rPr>
        <w:t>甲方验收合格</w:t>
      </w:r>
      <w:r>
        <w:rPr>
          <w:rFonts w:hint="eastAsia" w:ascii="宋体" w:hAnsi="宋体" w:cs="宋体"/>
          <w:kern w:val="11"/>
          <w:szCs w:val="21"/>
          <w:highlight w:val="none"/>
        </w:rPr>
        <w:t>且收到乙方相应金额的增值税发票，经甲方审核及验证无误</w:t>
      </w:r>
      <w:r>
        <w:rPr>
          <w:rFonts w:hint="eastAsia" w:ascii="宋体" w:hAnsi="宋体"/>
          <w:kern w:val="11"/>
          <w:highlight w:val="none"/>
        </w:rPr>
        <w:t xml:space="preserve">后【 </w:t>
      </w:r>
      <w:r>
        <w:rPr>
          <w:rFonts w:hint="eastAsia" w:ascii="宋体" w:hAnsi="宋体"/>
          <w:kern w:val="11"/>
          <w:highlight w:val="none"/>
          <w:lang w:val="en-US" w:eastAsia="zh-CN"/>
        </w:rPr>
        <w:t>180</w:t>
      </w:r>
      <w:r>
        <w:rPr>
          <w:rFonts w:hint="eastAsia" w:ascii="宋体" w:hAnsi="宋体"/>
          <w:kern w:val="11"/>
          <w:highlight w:val="none"/>
        </w:rPr>
        <w:t xml:space="preserve"> 】日内付款</w:t>
      </w:r>
      <w:r>
        <w:rPr>
          <w:rFonts w:hint="eastAsia" w:ascii="宋体" w:hAnsi="宋体"/>
          <w:szCs w:val="21"/>
          <w:highlight w:val="none"/>
        </w:rPr>
        <w:t>，支付方式为：银行承兑汇票或电汇。</w:t>
      </w:r>
    </w:p>
    <w:p>
      <w:pPr>
        <w:spacing w:line="400" w:lineRule="exact"/>
        <w:ind w:firstLine="420" w:firstLineChars="200"/>
        <w:rPr>
          <w:rFonts w:asciiTheme="minorEastAsia" w:hAnsiTheme="minorEastAsia" w:eastAsiaTheme="minorEastAsia"/>
          <w:szCs w:val="21"/>
        </w:rPr>
      </w:pPr>
      <w:r>
        <w:rPr>
          <w:rFonts w:hint="eastAsia" w:ascii="宋体" w:hAnsi="宋体"/>
          <w:szCs w:val="21"/>
        </w:rPr>
        <w:t>4.2乙方需在发货时提供相应金额的增值税发票给甲方。</w:t>
      </w:r>
      <w:r>
        <w:rPr>
          <w:rFonts w:hint="eastAsia" w:asciiTheme="minorEastAsia" w:hAnsiTheme="minorEastAsia" w:eastAsiaTheme="minorEastAsia"/>
          <w:szCs w:val="21"/>
        </w:rPr>
        <w:t>在乙方提供合法有效的增值税发票前，甲方有权拒绝支付应付款项，且不承担任何违约责任，乙方的各项合同义务仍按合同约定履行。</w:t>
      </w:r>
    </w:p>
    <w:p>
      <w:pPr>
        <w:spacing w:line="400" w:lineRule="exact"/>
        <w:ind w:firstLine="420" w:firstLineChars="200"/>
        <w:rPr>
          <w:rFonts w:ascii="宋体" w:hAnsi="宋体"/>
          <w:szCs w:val="21"/>
        </w:rPr>
      </w:pPr>
      <w:r>
        <w:rPr>
          <w:rFonts w:hint="eastAsia" w:ascii="宋体" w:hAnsi="宋体"/>
          <w:szCs w:val="21"/>
        </w:rPr>
        <w:t>4.3除非双方另有协议，订单中规定价款金额是甲方向乙方支付的唯一金额。</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4.4乙方收款账户以签章处约定为准，若乙方的收款账户有任何变更，乙方应在付款前15日书面通知甲方，否则甲方对任何由于乙方收款账户变更导致的延迟付款不承担任何违约责任。</w:t>
      </w:r>
    </w:p>
    <w:p>
      <w:pPr>
        <w:adjustRightInd w:val="0"/>
        <w:snapToGrid w:val="0"/>
        <w:spacing w:line="400" w:lineRule="exact"/>
        <w:rPr>
          <w:rFonts w:ascii="宋体" w:hAnsi="宋体"/>
          <w:b/>
          <w:bCs/>
          <w:spacing w:val="4"/>
          <w:szCs w:val="21"/>
        </w:rPr>
      </w:pPr>
      <w:r>
        <w:rPr>
          <w:rFonts w:hint="eastAsia" w:ascii="宋体" w:hAnsi="宋体"/>
          <w:b/>
          <w:bCs/>
          <w:spacing w:val="4"/>
          <w:szCs w:val="21"/>
        </w:rPr>
        <w:t>5、订货方式、包装要求、交货时间及交货地点</w:t>
      </w:r>
    </w:p>
    <w:p>
      <w:pPr>
        <w:spacing w:line="400" w:lineRule="exact"/>
        <w:ind w:firstLine="420" w:firstLineChars="200"/>
        <w:rPr>
          <w:rFonts w:ascii="宋体" w:hAnsi="宋体"/>
          <w:szCs w:val="21"/>
        </w:rPr>
      </w:pPr>
      <w:r>
        <w:rPr>
          <w:rFonts w:hint="eastAsia" w:ascii="宋体" w:hAnsi="宋体"/>
          <w:szCs w:val="21"/>
        </w:rPr>
        <w:t>5.1 交货时间：交货周期（包括运输时间）为</w:t>
      </w:r>
      <w:r>
        <w:rPr>
          <w:rFonts w:hint="eastAsia" w:asciiTheme="minorEastAsia" w:hAnsiTheme="minorEastAsia" w:eastAsiaTheme="minorEastAsia"/>
          <w:szCs w:val="21"/>
        </w:rPr>
        <w:t>自甲方发出采购订单之日起</w:t>
      </w:r>
      <w:r>
        <w:rPr>
          <w:rFonts w:hint="eastAsia" w:ascii="宋体" w:hAnsi="宋体"/>
          <w:szCs w:val="21"/>
        </w:rPr>
        <w:t xml:space="preserve">【 </w:t>
      </w:r>
      <w:r>
        <w:rPr>
          <w:rFonts w:hint="eastAsia" w:ascii="宋体" w:hAnsi="宋体"/>
          <w:szCs w:val="21"/>
          <w:lang w:val="en-US" w:eastAsia="zh-CN"/>
        </w:rPr>
        <w:t>15</w:t>
      </w:r>
      <w:r>
        <w:rPr>
          <w:rFonts w:hint="eastAsia" w:ascii="宋体" w:hAnsi="宋体"/>
          <w:szCs w:val="21"/>
        </w:rPr>
        <w:t xml:space="preserve"> 】日，具体交货时间按订单约定日期执行。</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szCs w:val="21"/>
        </w:rPr>
      </w:pPr>
      <w:r>
        <w:rPr>
          <w:rFonts w:hint="eastAsia" w:ascii="宋体" w:hAnsi="宋体"/>
          <w:szCs w:val="21"/>
        </w:rPr>
        <w:t>5.2.1甲方确认收到该标的物外包装未有重大且明显破损；</w:t>
      </w:r>
    </w:p>
    <w:p>
      <w:pPr>
        <w:spacing w:line="400" w:lineRule="exact"/>
        <w:ind w:firstLine="420" w:firstLineChars="200"/>
        <w:rPr>
          <w:rFonts w:ascii="宋体" w:hAnsi="宋体"/>
          <w:szCs w:val="21"/>
        </w:rPr>
      </w:pPr>
      <w:r>
        <w:rPr>
          <w:rFonts w:hint="eastAsia" w:ascii="宋体" w:hAnsi="宋体"/>
          <w:szCs w:val="21"/>
        </w:rPr>
        <w:t>5.2.2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szCs w:val="21"/>
        </w:rPr>
      </w:pPr>
      <w:r>
        <w:rPr>
          <w:rFonts w:hint="eastAsia" w:ascii="宋体" w:hAnsi="宋体"/>
          <w:szCs w:val="21"/>
        </w:rPr>
        <w:t>5.2.3即使签收了送货单，甲方仍有权在收到产品后对产品的数量、质量、外包装、标示等提出异议，并随时要求乙方及时处理。</w:t>
      </w:r>
    </w:p>
    <w:p>
      <w:pPr>
        <w:spacing w:line="400" w:lineRule="exact"/>
        <w:ind w:firstLine="420" w:firstLineChars="200"/>
        <w:rPr>
          <w:rFonts w:ascii="宋体" w:hAnsi="宋体"/>
          <w:szCs w:val="21"/>
        </w:rPr>
      </w:pPr>
      <w:r>
        <w:rPr>
          <w:rFonts w:hint="eastAsia" w:ascii="宋体" w:hAnsi="宋体"/>
          <w:szCs w:val="21"/>
        </w:rPr>
        <w:t>5.2.4 甲方有权</w:t>
      </w:r>
      <w:r>
        <w:rPr>
          <w:rFonts w:ascii="宋体" w:hAnsi="宋体"/>
          <w:szCs w:val="21"/>
        </w:rPr>
        <w:t>根据</w:t>
      </w:r>
      <w:r>
        <w:rPr>
          <w:rFonts w:hint="eastAsia" w:ascii="宋体" w:hAnsi="宋体"/>
          <w:szCs w:val="21"/>
        </w:rPr>
        <w:t>实际</w:t>
      </w:r>
      <w:r>
        <w:rPr>
          <w:rFonts w:ascii="宋体" w:hAnsi="宋体"/>
          <w:szCs w:val="21"/>
        </w:rPr>
        <w:t>需求更改</w:t>
      </w:r>
      <w:r>
        <w:rPr>
          <w:rFonts w:hint="eastAsia" w:ascii="宋体" w:hAnsi="宋体"/>
          <w:szCs w:val="21"/>
        </w:rPr>
        <w:t>产品</w:t>
      </w:r>
      <w:r>
        <w:rPr>
          <w:rFonts w:ascii="宋体" w:hAnsi="宋体"/>
          <w:szCs w:val="21"/>
        </w:rPr>
        <w:t>包装要求，</w:t>
      </w:r>
      <w:r>
        <w:rPr>
          <w:rFonts w:hint="eastAsia" w:ascii="宋体" w:hAnsi="宋体"/>
          <w:szCs w:val="21"/>
        </w:rPr>
        <w:t>乙方</w:t>
      </w:r>
      <w:r>
        <w:rPr>
          <w:rFonts w:ascii="宋体" w:hAnsi="宋体"/>
          <w:szCs w:val="21"/>
        </w:rPr>
        <w:t>不得以甲方包装要求变更</w:t>
      </w:r>
      <w:r>
        <w:rPr>
          <w:rFonts w:hint="eastAsia" w:ascii="宋体" w:hAnsi="宋体"/>
          <w:szCs w:val="21"/>
        </w:rPr>
        <w:t>为由要求</w:t>
      </w:r>
      <w:r>
        <w:rPr>
          <w:rFonts w:ascii="宋体" w:hAnsi="宋体"/>
          <w:szCs w:val="21"/>
        </w:rPr>
        <w:t>调整产品价格。</w:t>
      </w:r>
    </w:p>
    <w:p>
      <w:pPr>
        <w:spacing w:line="400" w:lineRule="exact"/>
        <w:rPr>
          <w:rFonts w:ascii="宋体" w:hAnsi="宋体"/>
          <w:b/>
          <w:szCs w:val="21"/>
        </w:rPr>
      </w:pPr>
      <w:r>
        <w:rPr>
          <w:rFonts w:hint="eastAsia" w:ascii="宋体" w:hAnsi="宋体"/>
          <w:b/>
          <w:szCs w:val="21"/>
        </w:rPr>
        <w:t>6、交付</w:t>
      </w:r>
    </w:p>
    <w:p>
      <w:pPr>
        <w:spacing w:line="400" w:lineRule="exact"/>
        <w:ind w:firstLine="420" w:firstLineChars="200"/>
        <w:rPr>
          <w:rFonts w:ascii="宋体" w:hAnsi="宋体"/>
          <w:szCs w:val="21"/>
        </w:rPr>
      </w:pPr>
      <w:r>
        <w:rPr>
          <w:rFonts w:hint="eastAsia" w:ascii="宋体" w:hAnsi="宋体"/>
          <w:szCs w:val="21"/>
        </w:rPr>
        <w:t xml:space="preserve">6.1交付地点：采购订单约定地点。 </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2交货如无其他约定，是指由乙方或乙方委托的人员或机构将产品交到交货地点，与甲方或甲方书面指定的收货人办理交货手续，并同时提供有关产品的并提交包括但不限于相关产品的合格证、出厂检验报告及甲方要求的其他文件等全部附件及附件清单（如上述文件非中文，乙方应当提供准确的中文翻译文件），乙方承担相应费用，取得甲方出具的收货单据。</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.3如甲方需要更改交货日期、交货地点、交货数量和收货人，经双方友好协商，甲方应在合理的时间内以书面交货通知的方式知会乙方。是否按时交货根据产品实际到达甲方指定地点的日期来判断。</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.5未经甲方同意，乙方不得提前交货，否则视为不按时交货，甲方有权拒收；</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.6对于任何可预见的延期交付，乙方都必须及时通知甲方并采取补救措施，由此产生的费用，由乙方承担。</w:t>
      </w:r>
    </w:p>
    <w:p>
      <w:pPr>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7运输费用、保险费用、符合运输条件的特定包装费用以及其他相关费用由乙方承担。在运输过程中发生产品的毁损、失火等风险均由乙方承担。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6.8若因乙方未按甲方要求数量提供产品，或未按时间提供产品，或提供产品质量不符合甲方要求造成甲方临时从其他主体处采购的，甲方采购替代产品的金额超出乙方供货产品价格部分由乙方承担。</w:t>
      </w:r>
    </w:p>
    <w:p>
      <w:pPr>
        <w:adjustRightInd w:val="0"/>
        <w:snapToGrid w:val="0"/>
        <w:spacing w:line="400" w:lineRule="exact"/>
        <w:rPr>
          <w:rFonts w:ascii="宋体" w:hAnsi="宋体"/>
          <w:b/>
          <w:bCs/>
          <w:spacing w:val="4"/>
          <w:szCs w:val="21"/>
        </w:rPr>
      </w:pPr>
      <w:r>
        <w:rPr>
          <w:rFonts w:ascii="宋体" w:hAnsi="宋体"/>
          <w:b/>
          <w:bCs/>
          <w:spacing w:val="4"/>
          <w:szCs w:val="21"/>
        </w:rPr>
        <w:t>7</w:t>
      </w:r>
      <w:r>
        <w:rPr>
          <w:rFonts w:hint="eastAsia" w:ascii="宋体" w:hAnsi="宋体"/>
          <w:b/>
          <w:bCs/>
          <w:spacing w:val="4"/>
          <w:szCs w:val="21"/>
        </w:rPr>
        <w:t>、产品包装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.1按照甲方要求的标准包装执行。由于包装不善所引起的产品锈蚀、损坏和损失等均由乙方承担。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b/>
          <w:bCs/>
          <w:spacing w:val="4"/>
          <w:szCs w:val="21"/>
        </w:rPr>
      </w:pPr>
      <w:r>
        <w:rPr>
          <w:rFonts w:ascii="宋体" w:hAnsi="宋体"/>
          <w:b/>
          <w:bCs/>
          <w:spacing w:val="4"/>
          <w:szCs w:val="21"/>
        </w:rPr>
        <w:t>8</w:t>
      </w:r>
      <w:r>
        <w:rPr>
          <w:rFonts w:hint="eastAsia" w:ascii="宋体" w:hAnsi="宋体"/>
          <w:b/>
          <w:bCs/>
          <w:spacing w:val="4"/>
          <w:szCs w:val="21"/>
        </w:rPr>
        <w:t>、产品的质量要求、技术标准、标识要求</w:t>
      </w:r>
    </w:p>
    <w:p>
      <w:pPr>
        <w:adjustRightInd w:val="0"/>
        <w:snapToGrid w:val="0"/>
        <w:spacing w:line="400" w:lineRule="exact"/>
        <w:ind w:firstLine="420" w:firstLineChars="200"/>
        <w:rPr>
          <w:rFonts w:ascii="宋体" w:hAnsi="宋体"/>
          <w:szCs w:val="21"/>
        </w:rPr>
      </w:pPr>
      <w:r>
        <w:rPr>
          <w:rFonts w:hint="eastAsia" w:ascii="宋体" w:hAnsi="宋体"/>
          <w:szCs w:val="21"/>
        </w:rPr>
        <w:t>按双方签订的《技术协议》、产品规格书、甲方产品</w:t>
      </w:r>
      <w:r>
        <w:rPr>
          <w:rFonts w:ascii="宋体" w:hAnsi="宋体"/>
          <w:szCs w:val="21"/>
        </w:rPr>
        <w:t>图纸、</w:t>
      </w:r>
      <w:r>
        <w:rPr>
          <w:rFonts w:hint="eastAsia" w:ascii="宋体" w:hAnsi="宋体"/>
          <w:szCs w:val="21"/>
        </w:rPr>
        <w:t>《质量协议》、</w:t>
      </w:r>
      <w:r>
        <w:rPr>
          <w:rFonts w:ascii="宋体" w:hAnsi="宋体"/>
          <w:szCs w:val="21"/>
        </w:rPr>
        <w:t>标准样品</w:t>
      </w:r>
      <w:r>
        <w:rPr>
          <w:rFonts w:hint="eastAsia" w:ascii="宋体" w:hAnsi="宋体"/>
          <w:szCs w:val="21"/>
        </w:rPr>
        <w:t>及甲方标识要求等执行。</w:t>
      </w:r>
    </w:p>
    <w:p>
      <w:pPr>
        <w:adjustRightInd w:val="0"/>
        <w:snapToGrid w:val="0"/>
        <w:spacing w:line="400" w:lineRule="exact"/>
        <w:rPr>
          <w:rFonts w:ascii="宋体" w:hAnsi="宋体"/>
          <w:b/>
          <w:bCs/>
          <w:spacing w:val="4"/>
          <w:szCs w:val="21"/>
        </w:rPr>
      </w:pPr>
      <w:r>
        <w:rPr>
          <w:rFonts w:ascii="宋体" w:hAnsi="宋体"/>
          <w:b/>
          <w:bCs/>
          <w:spacing w:val="4"/>
          <w:szCs w:val="21"/>
        </w:rPr>
        <w:t>9</w:t>
      </w:r>
      <w:r>
        <w:rPr>
          <w:rFonts w:hint="eastAsia" w:ascii="宋体" w:hAnsi="宋体"/>
          <w:b/>
          <w:bCs/>
          <w:spacing w:val="4"/>
          <w:szCs w:val="21"/>
        </w:rPr>
        <w:t>、产品验收</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.1货到甲方公司后，甲方将依据本协议第</w:t>
      </w:r>
      <w:r>
        <w:rPr>
          <w:rFonts w:ascii="宋体" w:hAnsi="宋体"/>
          <w:szCs w:val="21"/>
        </w:rPr>
        <w:t>8</w:t>
      </w:r>
      <w:r>
        <w:rPr>
          <w:rFonts w:hint="eastAsia" w:ascii="宋体" w:hAnsi="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.3质量不符合本协议第</w:t>
      </w:r>
      <w:r>
        <w:rPr>
          <w:rFonts w:ascii="宋体" w:hAnsi="宋体"/>
          <w:szCs w:val="21"/>
        </w:rPr>
        <w:t>8</w:t>
      </w:r>
      <w:r>
        <w:rPr>
          <w:rFonts w:hint="eastAsia" w:ascii="宋体" w:hAnsi="宋体"/>
          <w:szCs w:val="21"/>
        </w:rPr>
        <w:t>条要求的，甲方有权拒绝接收产品或解除协议并作退货处理，产生的损失由乙方承担。如有争议，由有评价资格的第三方机构对争议部分进行鉴定，费用由乙方垫付。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10</w:t>
      </w:r>
      <w:r>
        <w:rPr>
          <w:rFonts w:hint="eastAsia" w:ascii="宋体" w:hAnsi="宋体"/>
          <w:b/>
          <w:bCs/>
          <w:spacing w:val="4"/>
          <w:szCs w:val="21"/>
        </w:rPr>
        <w:t>、品质保证及服务</w:t>
      </w:r>
    </w:p>
    <w:p>
      <w:pPr>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.1乙方对其所供产品提供自到货且经甲方验收合格并签署验收单之日起【 </w:t>
      </w:r>
      <w:r>
        <w:rPr>
          <w:rFonts w:hint="eastAsia" w:ascii="宋体" w:hAnsi="宋体"/>
          <w:szCs w:val="21"/>
          <w:lang w:val="en-US" w:eastAsia="zh-CN"/>
        </w:rPr>
        <w:t>12</w:t>
      </w:r>
      <w:r>
        <w:rPr>
          <w:rFonts w:hint="eastAsia" w:ascii="宋体" w:hAnsi="宋体"/>
          <w:szCs w:val="21"/>
        </w:rPr>
        <w:t xml:space="preserve"> 】个月的品质保障； </w:t>
      </w:r>
    </w:p>
    <w:p>
      <w:pPr>
        <w:pStyle w:val="5"/>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.2质保期内，出现产品质量问题，甲方提供退货原因说明及数量统计，经双方确认系属产品质量问题的，乙方及时给予免费退换并承担因退换货产生的运费，更换的产品享有更换后经甲方验收合格起重新计算【 </w:t>
      </w:r>
      <w:r>
        <w:rPr>
          <w:rFonts w:hint="eastAsia" w:ascii="宋体" w:hAnsi="宋体"/>
          <w:szCs w:val="21"/>
          <w:lang w:val="en-US" w:eastAsia="zh-CN"/>
        </w:rPr>
        <w:t>12</w:t>
      </w:r>
      <w:r>
        <w:rPr>
          <w:rFonts w:hint="eastAsia" w:ascii="宋体" w:hAnsi="宋体"/>
          <w:szCs w:val="21"/>
        </w:rPr>
        <w:t xml:space="preserve"> 】个月的质保期。产品的隐蔽质量瑕疵（包含但不限于材料及工艺缺陷）不受此质保期的限制，对于产品在正常使用年限内暴露的任何隐蔽质量瑕疵乙方都应负责，给予免费维修、更换或赔偿损失。</w:t>
      </w:r>
      <w:r>
        <w:rPr>
          <w:rFonts w:hint="eastAsia" w:asciiTheme="minorEastAsia" w:hAnsiTheme="minorEastAsia" w:eastAsiaTheme="minorEastAsia"/>
          <w:szCs w:val="21"/>
        </w:rPr>
        <w:t>对是否属产品质量问题如有争议，由有评价资格的第三方机构对争议部分进行鉴定，费用由乙方垫付。</w:t>
      </w:r>
      <w:r>
        <w:rPr>
          <w:rFonts w:hint="eastAsia" w:ascii="宋体" w:hAnsi="宋体" w:cs="宋体"/>
          <w:kern w:val="11"/>
          <w:szCs w:val="21"/>
        </w:rPr>
        <w:t>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11</w:t>
      </w:r>
      <w:r>
        <w:rPr>
          <w:rFonts w:hint="eastAsia" w:ascii="宋体" w:hAnsi="宋体"/>
          <w:b/>
          <w:bCs/>
          <w:spacing w:val="4"/>
          <w:szCs w:val="21"/>
        </w:rPr>
        <w:t>、违约责任</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.1 在本协议约定的范围内，乙方必须接受甲方的采购订单和满足甲方要求的交期。若因特殊原因不能按时交货，乙方必须第一时间（最晚在甲方要求交期前3个工作日）以书面形式通知甲方并经甲方书面同意，否则视为乙方拒绝交货，乙方按照11.2条承担违约责任。</w:t>
      </w:r>
    </w:p>
    <w:p>
      <w:pPr>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.2乙方在接到甲方采购订单后逾期交付产品的，每逾期一天，甲方有权要求乙方支付逾期交付产品价值总额【</w:t>
      </w:r>
      <w:r>
        <w:rPr>
          <w:rFonts w:hint="eastAsia" w:ascii="宋体" w:hAnsi="宋体"/>
          <w:szCs w:val="21"/>
          <w:lang w:val="en-US" w:eastAsia="zh-CN"/>
        </w:rPr>
        <w:t>万分之五</w:t>
      </w:r>
      <w:r>
        <w:rPr>
          <w:rFonts w:hint="eastAsia" w:ascii="宋体" w:hAnsi="宋体"/>
          <w:szCs w:val="21"/>
        </w:rPr>
        <w:t>】的违约金，</w:t>
      </w:r>
      <w:r>
        <w:rPr>
          <w:rFonts w:hint="eastAsia" w:asciiTheme="minorEastAsia" w:hAnsiTheme="minorEastAsia" w:eastAsiaTheme="minorEastAsia"/>
          <w:szCs w:val="21"/>
        </w:rPr>
        <w:t>因此给甲方造成的损失由乙方承担</w:t>
      </w:r>
      <w:r>
        <w:rPr>
          <w:rFonts w:hint="eastAsia" w:ascii="宋体" w:hAnsi="宋体"/>
          <w:szCs w:val="21"/>
        </w:rPr>
        <w:t>。乙方支付违约金后，其继续交货的责任不能解除。如延期交付导致甲方认为继续履行该采购订单已没有意义，则甲方有权解除该采购订单，乙方应按照解除订单载明总金额的30%向甲方支付违约金；</w:t>
      </w:r>
    </w:p>
    <w:p>
      <w:pPr>
        <w:spacing w:line="400" w:lineRule="exact"/>
        <w:ind w:firstLine="420" w:firstLineChars="200"/>
        <w:rPr>
          <w:rFonts w:ascii="宋体" w:hAnsi="宋体"/>
          <w:szCs w:val="21"/>
        </w:rPr>
      </w:pPr>
      <w:r>
        <w:rPr>
          <w:rFonts w:hint="eastAsia" w:ascii="宋体" w:hAnsi="宋体"/>
          <w:szCs w:val="21"/>
        </w:rPr>
        <w:t>如乙方拒绝采购订单或交货，逾期应按照被拒绝订单载明的总金额的30%向甲方支付违约金；如乙方拒绝拒绝采购订单或交货达3次，甲方有权解除本协议。</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1.3 </w:t>
      </w:r>
      <w:r>
        <w:rPr>
          <w:rFonts w:hint="eastAsia" w:ascii="宋体" w:hAnsi="宋体"/>
          <w:szCs w:val="21"/>
        </w:rPr>
        <w:t>乙方交付产品的品质、性能、技术标准、质量要求不符合本协议</w:t>
      </w:r>
      <w:r>
        <w:rPr>
          <w:rFonts w:ascii="宋体" w:hAnsi="宋体"/>
          <w:szCs w:val="21"/>
        </w:rPr>
        <w:t>第</w:t>
      </w:r>
      <w:r>
        <w:rPr>
          <w:rFonts w:hint="eastAsia" w:ascii="宋体" w:hAnsi="宋体"/>
          <w:szCs w:val="21"/>
        </w:rPr>
        <w:t>8条</w:t>
      </w:r>
      <w:r>
        <w:rPr>
          <w:rFonts w:ascii="宋体" w:hAnsi="宋体"/>
          <w:szCs w:val="21"/>
        </w:rPr>
        <w:t>要求</w:t>
      </w:r>
      <w:r>
        <w:rPr>
          <w:rFonts w:hint="eastAsia" w:ascii="宋体" w:hAnsi="宋体"/>
          <w:szCs w:val="21"/>
        </w:rPr>
        <w:t>的，甲方有权向乙方提出更换产品及索赔或解除订单并作退货处理。乙方应无任何条件在甲方提出之日起 3日内免费更换产品，由此造成的时间延误视作乙方未按时交货，按照11.2条处理。如因此给甲方造成生产中断、销售订单违约等损失的，乙方须按采购</w:t>
      </w:r>
      <w:r>
        <w:rPr>
          <w:rFonts w:ascii="宋体" w:hAnsi="宋体"/>
          <w:szCs w:val="21"/>
        </w:rPr>
        <w:t>订单</w:t>
      </w:r>
      <w:r>
        <w:rPr>
          <w:rFonts w:hint="eastAsia" w:ascii="宋体" w:hAnsi="宋体"/>
          <w:szCs w:val="21"/>
        </w:rPr>
        <w:t>总价款的30%向甲方支付违约金。</w:t>
      </w:r>
      <w:r>
        <w:rPr>
          <w:rFonts w:hint="eastAsia" w:asciiTheme="minorEastAsia" w:hAnsiTheme="minorEastAsia" w:eastAsiaTheme="minorEastAsia"/>
          <w:szCs w:val="21"/>
        </w:rPr>
        <w:t>甲方解除订单并作退货处理的，乙方应在甲方提出之日起 3日内无条件退货，乙方除返还已付款项外，应按照采购订单总金额的30%向甲方支付违约金。</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.4 质保期内，如</w:t>
      </w:r>
      <w:r>
        <w:rPr>
          <w:rFonts w:hint="eastAsia" w:asciiTheme="minorEastAsia" w:hAnsiTheme="minorEastAsia" w:eastAsiaTheme="minorEastAsia"/>
          <w:szCs w:val="21"/>
        </w:rPr>
        <w:t>产品</w:t>
      </w:r>
      <w:r>
        <w:rPr>
          <w:rFonts w:hint="eastAsia" w:ascii="宋体" w:hAnsi="宋体"/>
          <w:szCs w:val="21"/>
        </w:rPr>
        <w:t>经2次换货仍未达到技术要求的，甲方有权终止本协议，并对该订单产品做退货处理，乙方应按采购订单总价款的30%向甲方支付违约金，</w:t>
      </w:r>
      <w:r>
        <w:rPr>
          <w:rFonts w:hint="eastAsia" w:asciiTheme="minorEastAsia" w:hAnsiTheme="minorEastAsia" w:eastAsiaTheme="minorEastAsia"/>
          <w:szCs w:val="21"/>
        </w:rPr>
        <w:t>如违约金不足以弥补甲方损失的，乙方应另行赔偿给甲方造成的损失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 xml:space="preserve">.5 </w:t>
      </w:r>
      <w:r>
        <w:rPr>
          <w:rFonts w:ascii="宋体" w:hAnsi="宋体"/>
          <w:szCs w:val="21"/>
        </w:rPr>
        <w:t>乙方保证本协议项下产品的权利无瑕疵，包括产品所有权及知识产权等权利无瑕疵。如任何第三方经法院（或仲裁机构）裁决有权对上述产品主张权利或国家机关依法对产品进行没收查处的，乙方除应向甲方返还已收款项外，还应按</w:t>
      </w:r>
      <w:r>
        <w:rPr>
          <w:rFonts w:hint="eastAsia" w:ascii="宋体" w:hAnsi="宋体"/>
          <w:szCs w:val="21"/>
        </w:rPr>
        <w:t>采购订单</w:t>
      </w:r>
      <w:r>
        <w:rPr>
          <w:rFonts w:ascii="宋体" w:hAnsi="宋体"/>
          <w:szCs w:val="21"/>
        </w:rPr>
        <w:t>总价的</w:t>
      </w:r>
      <w:r>
        <w:rPr>
          <w:rFonts w:hint="eastAsia" w:ascii="宋体" w:hAnsi="宋体"/>
          <w:szCs w:val="21"/>
        </w:rPr>
        <w:t>30%</w:t>
      </w:r>
      <w:r>
        <w:rPr>
          <w:rFonts w:ascii="宋体" w:hAnsi="宋体"/>
          <w:szCs w:val="21"/>
        </w:rPr>
        <w:t>向甲方支付违约金并赔偿因此给甲方造成的一切损失。</w:t>
      </w:r>
    </w:p>
    <w:p>
      <w:pPr>
        <w:adjustRightInd w:val="0"/>
        <w:snapToGrid w:val="0"/>
        <w:spacing w:line="400" w:lineRule="exact"/>
        <w:ind w:firstLine="420" w:firstLineChars="200"/>
        <w:rPr>
          <w:rFonts w:ascii="宋体" w:hAnsi="宋体"/>
          <w:szCs w:val="21"/>
        </w:rPr>
      </w:pPr>
      <w:r>
        <w:rPr>
          <w:rFonts w:hint="eastAsia" w:ascii="宋体" w:hAnsi="宋体"/>
          <w:szCs w:val="21"/>
        </w:rPr>
        <w:t>11.6 如产品是因包装不善或运输过程中造成的表面损坏或不影响产品使用质量的瑕疵，甲方同意降价接收的，乙方应先对产品进行修理或复原，修复效果经甲方确认后可降价接收。如上述的问题在产品上批量性出现或多次出现，并且甲方不同意降价接收的，甲方可要求退换产品，由此发生的甲方损失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11.7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8甲方的损失包括但不限于：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.9甲方有权从采购订单款项中直接扣除乙方违约金，</w:t>
      </w:r>
      <w:r>
        <w:rPr>
          <w:rFonts w:hint="eastAsia" w:asciiTheme="minorEastAsia" w:hAnsiTheme="minorEastAsia" w:eastAsiaTheme="minorEastAsia"/>
          <w:szCs w:val="21"/>
        </w:rPr>
        <w:t>如该违约金不足以弥补甲方损失的，乙方应赔偿超过违约金部分的损失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Theme="minorEastAsia" w:hAnsiTheme="minorEastAsia" w:eastAsiaTheme="minorEastAsia"/>
          <w:szCs w:val="21"/>
        </w:rPr>
        <w:t>11.10如因产品质量问题（含因产品包装不当导致的质量问题）给甲方或第三方造成损失，乙方应承担全部赔偿责任，包括但不仅限于相关诉讼、索赔费用以及甲方由此遭受的损害、损失和甲方为此支出的相关费用。</w:t>
      </w:r>
    </w:p>
    <w:p>
      <w:pPr>
        <w:adjustRightInd w:val="0"/>
        <w:snapToGrid w:val="0"/>
        <w:spacing w:line="400" w:lineRule="exact"/>
        <w:ind w:firstLine="438"/>
        <w:rPr>
          <w:rFonts w:ascii="宋体" w:hAnsi="宋体"/>
          <w:szCs w:val="21"/>
        </w:rPr>
      </w:pPr>
      <w:r>
        <w:rPr>
          <w:rFonts w:ascii="宋体" w:hAnsi="宋体"/>
          <w:bCs/>
          <w:spacing w:val="4"/>
          <w:szCs w:val="21"/>
        </w:rPr>
        <w:t>11.11</w:t>
      </w:r>
      <w:r>
        <w:rPr>
          <w:rFonts w:hint="eastAsia" w:ascii="宋体" w:hAnsi="宋体"/>
          <w:szCs w:val="21"/>
        </w:rPr>
        <w:t xml:space="preserve">如发生以上的情形，甲方可同时要求对乙方的工厂和生产情况进行审核，乙方应积极配合。 </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asciiTheme="minorEastAsia" w:hAnsiTheme="minorEastAsia" w:eastAsiaTheme="minorEastAsia"/>
          <w:b/>
          <w:bCs/>
          <w:spacing w:val="4"/>
          <w:szCs w:val="21"/>
        </w:rPr>
        <w:t>1</w:t>
      </w:r>
      <w:r>
        <w:rPr>
          <w:rFonts w:hint="eastAsia" w:asciiTheme="minorEastAsia" w:hAnsiTheme="minorEastAsia" w:eastAsiaTheme="minorEastAsia"/>
          <w:b/>
          <w:bCs/>
          <w:spacing w:val="4"/>
          <w:szCs w:val="21"/>
        </w:rPr>
        <w:t>2、不可抗力</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12.1“不可抗力”指不能预见、不能避免并不能克服的客观情况。这类情况包括但不限于地震、台风、洪水、火灾、战争、政府行为、传染病、重大疫情或者其他公认的或双方认可的无法预见、避免或者控制的情况。</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12.2如果发生不可抗力，一方在本协议项下受不可抗力影响的义务在不可抗力造成的延误期间自动中止，并且其履行期限应自动延长。延误期间从一方收到提出受不可抗力影响的另一方书面通知之日起计算，至双方共同确认不可抗力影响结束之日止，延长期间为中止的期间。受不可抗力影响的一方无须为此承担违约责任。因受不可抗力影响的一方延迟通知导致的扩大损失除外。受不可抗力影响延长期限超过30日影响甲方生产的，甲方有权单方解除本协议且不承担任何违约责任。</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12.3提出受不可抗力影响的一方应在不可抗力发生之日起3个工作日内书面通知另一方，并且在不可抗力发生之后十（10）个工作日内向另一方提供不可抗力发生以及持续期间的充分证据。提出受不可抗力影响的一方还应尽一切合理的努力排除不可抗力所带来的影响。</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hint="eastAsia" w:asciiTheme="minorEastAsia" w:hAnsiTheme="minorEastAsia" w:eastAsiaTheme="minorEastAsia"/>
          <w:b/>
          <w:bCs/>
          <w:spacing w:val="4"/>
          <w:szCs w:val="21"/>
        </w:rPr>
        <w:t>13、合同的变更和解除</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13.1当事人双方协商一致，可以书面变更或解除本协议。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13.2发生下列情况之一时，一方可以解除本协议。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13.2.1由于不可抗力或不可归责于双方的原因致使本协议的目的无法实现的；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13.2.2另一方破产、清算或丧失实际履约能力的；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13.2.3本协议约定的合同解除条件成就的。</w:t>
      </w:r>
    </w:p>
    <w:p>
      <w:pPr>
        <w:adjustRightInd w:val="0"/>
        <w:snapToGrid w:val="0"/>
        <w:spacing w:line="400" w:lineRule="exact"/>
        <w:ind w:firstLine="436" w:firstLineChars="200"/>
        <w:rPr>
          <w:rFonts w:ascii="宋体" w:hAnsi="宋体" w:cs="宋体"/>
          <w:bCs/>
          <w:spacing w:val="4"/>
          <w:szCs w:val="21"/>
        </w:rPr>
      </w:pPr>
      <w:r>
        <w:rPr>
          <w:rFonts w:hint="eastAsia" w:ascii="宋体" w:hAnsi="宋体" w:cs="宋体"/>
          <w:bCs/>
          <w:spacing w:val="4"/>
          <w:szCs w:val="21"/>
        </w:rPr>
        <w:t>13.3任何一方依据本条第2款解除合同需书面通知对方，本协议自通知到达之日起解除。</w:t>
      </w:r>
    </w:p>
    <w:p>
      <w:pPr>
        <w:adjustRightInd w:val="0"/>
        <w:snapToGrid w:val="0"/>
        <w:spacing w:line="400" w:lineRule="exact"/>
        <w:rPr>
          <w:rFonts w:ascii="宋体" w:hAnsi="宋体"/>
          <w:b/>
          <w:bCs/>
          <w:spacing w:val="4"/>
          <w:szCs w:val="21"/>
        </w:rPr>
      </w:pPr>
      <w:r>
        <w:rPr>
          <w:rFonts w:ascii="宋体" w:hAnsi="宋体"/>
          <w:b/>
          <w:bCs/>
          <w:spacing w:val="4"/>
          <w:szCs w:val="21"/>
        </w:rPr>
        <w:t>1</w:t>
      </w:r>
      <w:r>
        <w:rPr>
          <w:rFonts w:hint="eastAsia" w:ascii="宋体" w:hAnsi="宋体"/>
          <w:b/>
          <w:bCs/>
          <w:spacing w:val="4"/>
          <w:szCs w:val="21"/>
        </w:rPr>
        <w:t>4、其它</w:t>
      </w:r>
    </w:p>
    <w:p>
      <w:pPr>
        <w:adjustRightInd w:val="0"/>
        <w:snapToGrid w:val="0"/>
        <w:spacing w:line="400" w:lineRule="exact"/>
        <w:ind w:firstLine="420" w:firstLineChars="200"/>
        <w:rPr>
          <w:rFonts w:ascii="宋体" w:hAnsi="宋体"/>
          <w:szCs w:val="21"/>
        </w:rPr>
      </w:pPr>
      <w:r>
        <w:rPr>
          <w:rFonts w:hint="eastAsia" w:ascii="宋体" w:hAnsi="宋体"/>
          <w:szCs w:val="21"/>
        </w:rPr>
        <w:t>14.1以上产品单价均为含13%增值税的价格。</w:t>
      </w:r>
    </w:p>
    <w:p>
      <w:pPr>
        <w:adjustRightInd w:val="0"/>
        <w:snapToGrid w:val="0"/>
        <w:spacing w:line="400" w:lineRule="exact"/>
        <w:ind w:firstLine="420" w:firstLineChars="200"/>
        <w:rPr>
          <w:rFonts w:ascii="宋体" w:hAnsi="宋体"/>
          <w:szCs w:val="21"/>
        </w:rPr>
      </w:pPr>
      <w:r>
        <w:rPr>
          <w:rFonts w:hint="eastAsia" w:ascii="宋体" w:hAnsi="宋体"/>
          <w:szCs w:val="21"/>
        </w:rPr>
        <w:t>14.2</w:t>
      </w:r>
      <w:r>
        <w:rPr>
          <w:rFonts w:hint="eastAsia" w:ascii="宋体" w:hAnsi="宋体" w:cs="宋体"/>
          <w:bCs/>
          <w:spacing w:val="4"/>
          <w:szCs w:val="21"/>
        </w:rPr>
        <w:t>本协议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20" w:firstLineChars="200"/>
        <w:rPr>
          <w:rFonts w:ascii="宋体" w:hAnsi="宋体"/>
          <w:szCs w:val="21"/>
        </w:rPr>
      </w:pPr>
      <w:r>
        <w:rPr>
          <w:rFonts w:hint="eastAsia" w:ascii="宋体" w:hAnsi="宋体"/>
          <w:szCs w:val="21"/>
        </w:rPr>
        <w:t>14.3所有由协议履行引起的或与协议有关的争议，双方应友好协商解决，协商不成，应向甲方所在地法院诉讼解决。</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14.4本协议对甲方、甲方分公司及全资子公司均有效，甲方全资子公司包括但不限于天津荣盛盟固利新能源科技有限公司、广西荣盛盟固利新能源科技有限公司。</w:t>
      </w:r>
    </w:p>
    <w:p>
      <w:pPr>
        <w:adjustRightInd w:val="0"/>
        <w:snapToGrid w:val="0"/>
        <w:spacing w:line="400" w:lineRule="exact"/>
        <w:ind w:firstLine="420" w:firstLineChars="200"/>
        <w:rPr>
          <w:rFonts w:ascii="宋体" w:hAnsi="宋体"/>
          <w:szCs w:val="21"/>
        </w:rPr>
      </w:pPr>
      <w:r>
        <w:rPr>
          <w:rFonts w:hint="eastAsia" w:ascii="宋体" w:hAnsi="宋体"/>
          <w:szCs w:val="21"/>
        </w:rPr>
        <w:t>14.5本协议有效期自【 】年【 】月【 】日至【 】年【 】月【 】日止。本协议有效期届满，如需继续合作的，甲乙双方协商一致后另行签订协议。</w:t>
      </w:r>
    </w:p>
    <w:p>
      <w:pPr>
        <w:adjustRightInd w:val="0"/>
        <w:snapToGrid w:val="0"/>
        <w:spacing w:line="400" w:lineRule="exact"/>
        <w:ind w:firstLine="420" w:firstLineChars="200"/>
        <w:rPr>
          <w:rFonts w:ascii="宋体" w:hAnsi="宋体"/>
          <w:szCs w:val="21"/>
        </w:rPr>
      </w:pPr>
      <w:r>
        <w:rPr>
          <w:rFonts w:hint="eastAsia" w:ascii="宋体" w:hAnsi="宋体"/>
          <w:szCs w:val="21"/>
        </w:rPr>
        <w:t>14.6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14.7本协议一式3份，甲方执2份，乙方执1份，具有同等法律效力，自双方签字盖章且在本协议约定的有效期的起始之日起生效。</w:t>
      </w:r>
    </w:p>
    <w:p>
      <w:pPr>
        <w:spacing w:line="400" w:lineRule="exact"/>
        <w:ind w:firstLine="424" w:firstLineChars="202"/>
        <w:rPr>
          <w:rFonts w:ascii="宋体" w:hAnsi="宋体"/>
          <w:szCs w:val="21"/>
        </w:rPr>
      </w:pPr>
      <w:r>
        <w:rPr>
          <w:rFonts w:hint="eastAsia" w:ascii="宋体" w:hAnsi="宋体"/>
          <w:color w:val="000000"/>
          <w:szCs w:val="21"/>
        </w:rPr>
        <w:t>（以下无正文，为签章页）</w:t>
      </w:r>
    </w:p>
    <w:tbl>
      <w:tblPr>
        <w:tblStyle w:val="23"/>
        <w:tblpPr w:leftFromText="180" w:rightFromText="180" w:vertAnchor="text" w:horzAnchor="margin" w:tblpY="64"/>
        <w:tblW w:w="946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spacing w:after="120"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电子邮箱</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spacing w:line="400" w:lineRule="exact"/>
              <w:ind w:firstLine="1526" w:firstLineChars="700"/>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spacing w:line="400" w:lineRule="exact"/>
              <w:ind w:firstLine="1635" w:firstLineChars="750"/>
              <w:rPr>
                <w:rFonts w:ascii="宋体" w:hAnsi="宋体"/>
                <w:spacing w:val="4"/>
                <w:szCs w:val="21"/>
              </w:rPr>
            </w:pPr>
          </w:p>
        </w:tc>
      </w:tr>
    </w:tbl>
    <w:p/>
    <w:p>
      <w:pPr>
        <w:adjustRightInd w:val="0"/>
        <w:snapToGrid w:val="0"/>
        <w:spacing w:line="400" w:lineRule="exact"/>
        <w:rPr>
          <w:rFonts w:ascii="宋体" w:hAnsi="宋体"/>
          <w:szCs w:val="21"/>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center"/>
        <w:rPr>
          <w:rStyle w:val="36"/>
          <w:sz w:val="28"/>
          <w:szCs w:val="28"/>
        </w:rPr>
      </w:pPr>
      <w:bookmarkStart w:id="63" w:name="_Toc509411474"/>
      <w:bookmarkStart w:id="64" w:name="_Toc509411554"/>
      <w:bookmarkStart w:id="65" w:name="_Toc509413676"/>
      <w:r>
        <w:rPr>
          <w:rStyle w:val="36"/>
          <w:rFonts w:hint="eastAsia"/>
          <w:sz w:val="28"/>
          <w:szCs w:val="28"/>
        </w:rPr>
        <w:t>第五章 供应商质量基本要求</w:t>
      </w:r>
      <w:bookmarkEnd w:id="63"/>
      <w:bookmarkEnd w:id="64"/>
      <w:bookmarkEnd w:id="65"/>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bookmarkStart w:id="66" w:name="_Toc509411475"/>
      <w:bookmarkStart w:id="67" w:name="_Toc509411555"/>
      <w:r>
        <w:rPr>
          <w:rFonts w:hint="eastAsia" w:ascii="宋体" w:hAnsi="宋体" w:cs="宋体"/>
          <w:color w:val="FF0000"/>
          <w:kern w:val="0"/>
          <w:szCs w:val="21"/>
        </w:rPr>
        <w:t>（具体条款要求见附件9）</w:t>
      </w:r>
      <w:bookmarkEnd w:id="66"/>
      <w:bookmarkEnd w:id="67"/>
    </w:p>
    <w:p/>
    <w:p>
      <w:pPr>
        <w:overflowPunct w:val="0"/>
        <w:spacing w:line="360" w:lineRule="auto"/>
        <w:jc w:val="center"/>
        <w:outlineLvl w:val="0"/>
        <w:rPr>
          <w:rFonts w:ascii="宋体" w:hAnsi="宋体" w:cs="宋体"/>
          <w:color w:val="FF0000"/>
          <w:kern w:val="0"/>
          <w:szCs w:val="21"/>
        </w:rPr>
      </w:pPr>
    </w:p>
    <w:sectPr>
      <w:footerReference r:id="rId7" w:type="default"/>
      <w:pgSz w:w="11906" w:h="16838"/>
      <w:pgMar w:top="1440" w:right="1800" w:bottom="1440" w:left="1800"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- 11 -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- 15 -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96A"/>
    <w:multiLevelType w:val="multilevel"/>
    <w:tmpl w:val="07DA59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5B1068"/>
    <w:multiLevelType w:val="multilevel"/>
    <w:tmpl w:val="1C5B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32"/>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outline w:val="0"/>
        <w:shadow w:val="0"/>
        <w:spacing w:val="0"/>
        <w:kern w:val="0"/>
        <w:position w:val="0"/>
        <w:sz w:val="24"/>
        <w:szCs w:val="24"/>
        <w:u w:val="none"/>
      </w:rPr>
    </w:lvl>
    <w:lvl w:ilvl="2" w:tentative="0">
      <w:start w:val="1"/>
      <w:numFmt w:val="decimal"/>
      <w:suff w:val="nothing"/>
      <w:lvlText w:val="%1.%2.%3　"/>
      <w:lvlJc w:val="left"/>
      <w:pPr>
        <w:ind w:left="0"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2A3665"/>
    <w:multiLevelType w:val="multilevel"/>
    <w:tmpl w:val="232A3665"/>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9E6B8"/>
    <w:multiLevelType w:val="singleLevel"/>
    <w:tmpl w:val="54A9E6B8"/>
    <w:lvl w:ilvl="0" w:tentative="0">
      <w:start w:val="1"/>
      <w:numFmt w:val="decimal"/>
      <w:suff w:val="nothing"/>
      <w:lvlText w:val="%1."/>
      <w:lvlJc w:val="left"/>
    </w:lvl>
  </w:abstractNum>
  <w:abstractNum w:abstractNumId="5">
    <w:nsid w:val="54A9E701"/>
    <w:multiLevelType w:val="singleLevel"/>
    <w:tmpl w:val="54A9E701"/>
    <w:lvl w:ilvl="0" w:tentative="0">
      <w:start w:val="1"/>
      <w:numFmt w:val="decimal"/>
      <w:suff w:val="nothing"/>
      <w:lvlText w:val="%1."/>
      <w:lvlJc w:val="left"/>
    </w:lvl>
  </w:abstractNum>
  <w:abstractNum w:abstractNumId="6">
    <w:nsid w:val="54A9E73A"/>
    <w:multiLevelType w:val="multilevel"/>
    <w:tmpl w:val="54A9E73A"/>
    <w:lvl w:ilvl="0" w:tentative="0">
      <w:start w:val="1"/>
      <w:numFmt w:val="decimal"/>
      <w:suff w:val="nothing"/>
      <w:lvlText w:val="%1."/>
      <w:lvlJc w:val="left"/>
    </w:lvl>
    <w:lvl w:ilvl="1" w:tentative="0">
      <w:start w:val="1"/>
      <w:numFmt w:val="decimal"/>
      <w:isLgl/>
      <w:lvlText w:val="%1.%2"/>
      <w:lvlJc w:val="left"/>
      <w:pPr>
        <w:ind w:left="891" w:hanging="450"/>
      </w:pPr>
      <w:rPr>
        <w:rFonts w:hint="default"/>
      </w:rPr>
    </w:lvl>
    <w:lvl w:ilvl="2" w:tentative="0">
      <w:start w:val="1"/>
      <w:numFmt w:val="decimal"/>
      <w:isLgl/>
      <w:lvlText w:val="%1.%2.%3"/>
      <w:lvlJc w:val="left"/>
      <w:pPr>
        <w:ind w:left="1602" w:hanging="720"/>
      </w:pPr>
      <w:rPr>
        <w:rFonts w:hint="default"/>
      </w:rPr>
    </w:lvl>
    <w:lvl w:ilvl="3" w:tentative="0">
      <w:start w:val="1"/>
      <w:numFmt w:val="decimal"/>
      <w:isLgl/>
      <w:lvlText w:val="%1.%2.%3.%4"/>
      <w:lvlJc w:val="left"/>
      <w:pPr>
        <w:ind w:left="2403" w:hanging="1080"/>
      </w:pPr>
      <w:rPr>
        <w:rFonts w:hint="default"/>
      </w:rPr>
    </w:lvl>
    <w:lvl w:ilvl="4" w:tentative="0">
      <w:start w:val="1"/>
      <w:numFmt w:val="decimal"/>
      <w:isLgl/>
      <w:lvlText w:val="%1.%2.%3.%4.%5"/>
      <w:lvlJc w:val="left"/>
      <w:pPr>
        <w:ind w:left="2844" w:hanging="1080"/>
      </w:pPr>
      <w:rPr>
        <w:rFonts w:hint="default"/>
      </w:rPr>
    </w:lvl>
    <w:lvl w:ilvl="5" w:tentative="0">
      <w:start w:val="1"/>
      <w:numFmt w:val="decimal"/>
      <w:isLgl/>
      <w:lvlText w:val="%1.%2.%3.%4.%5.%6"/>
      <w:lvlJc w:val="left"/>
      <w:pPr>
        <w:ind w:left="3645" w:hanging="1440"/>
      </w:pPr>
      <w:rPr>
        <w:rFonts w:hint="default"/>
      </w:rPr>
    </w:lvl>
    <w:lvl w:ilvl="6" w:tentative="0">
      <w:start w:val="1"/>
      <w:numFmt w:val="decimal"/>
      <w:isLgl/>
      <w:lvlText w:val="%1.%2.%3.%4.%5.%6.%7"/>
      <w:lvlJc w:val="left"/>
      <w:pPr>
        <w:ind w:left="4086" w:hanging="144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88" w:hanging="2160"/>
      </w:pPr>
      <w:rPr>
        <w:rFonts w:hint="default"/>
      </w:rPr>
    </w:lvl>
  </w:abstractNum>
  <w:abstractNum w:abstractNumId="7">
    <w:nsid w:val="69763167"/>
    <w:multiLevelType w:val="multilevel"/>
    <w:tmpl w:val="69763167"/>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8D5695"/>
    <w:multiLevelType w:val="multilevel"/>
    <w:tmpl w:val="7A8D56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0"/>
  </w:num>
  <w:num w:numId="4">
    <w:abstractNumId w:val="1"/>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83"/>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2428E5"/>
    <w:rsid w:val="0F166B1E"/>
    <w:rsid w:val="10256295"/>
    <w:rsid w:val="13D856C0"/>
    <w:rsid w:val="15AC2DD0"/>
    <w:rsid w:val="1E9E2732"/>
    <w:rsid w:val="292054AD"/>
    <w:rsid w:val="2B3702E2"/>
    <w:rsid w:val="3AB77DE7"/>
    <w:rsid w:val="47866BA0"/>
    <w:rsid w:val="48DC278C"/>
    <w:rsid w:val="5704070E"/>
    <w:rsid w:val="61F17EB8"/>
    <w:rsid w:val="63AB33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6" w:lineRule="auto"/>
      <w:outlineLvl w:val="0"/>
    </w:pPr>
    <w:rPr>
      <w:b/>
      <w:kern w:val="44"/>
      <w:sz w:val="44"/>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iPriority w:val="0"/>
    <w:pPr>
      <w:ind w:left="2520" w:leftChars="1200"/>
    </w:pPr>
  </w:style>
  <w:style w:type="paragraph" w:styleId="4">
    <w:name w:val="Normal Indent"/>
    <w:basedOn w:val="1"/>
    <w:uiPriority w:val="0"/>
    <w:pPr>
      <w:adjustRightInd w:val="0"/>
      <w:ind w:firstLine="420"/>
      <w:jc w:val="left"/>
      <w:textAlignment w:val="baseline"/>
    </w:pPr>
    <w:rPr>
      <w:sz w:val="24"/>
    </w:rPr>
  </w:style>
  <w:style w:type="paragraph" w:styleId="5">
    <w:name w:val="annotation text"/>
    <w:basedOn w:val="1"/>
    <w:link w:val="39"/>
    <w:qFormat/>
    <w:uiPriority w:val="99"/>
    <w:pPr>
      <w:jc w:val="left"/>
    </w:pPr>
    <w:rPr>
      <w:szCs w:val="20"/>
    </w:rPr>
  </w:style>
  <w:style w:type="paragraph" w:styleId="6">
    <w:name w:val="Body Text"/>
    <w:basedOn w:val="1"/>
    <w:qFormat/>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4"/>
    <w:qFormat/>
    <w:uiPriority w:val="0"/>
    <w:pPr>
      <w:ind w:left="840" w:leftChars="400"/>
    </w:pPr>
  </w:style>
  <w:style w:type="paragraph" w:styleId="10">
    <w:name w:val="Plain Text"/>
    <w:basedOn w:val="1"/>
    <w:qFormat/>
    <w:uiPriority w:val="0"/>
    <w:rPr>
      <w:rFonts w:ascii="宋体" w:hAnsi="Courier New"/>
    </w:rPr>
  </w:style>
  <w:style w:type="paragraph" w:styleId="11">
    <w:name w:val="toc 8"/>
    <w:basedOn w:val="1"/>
    <w:next w:val="1"/>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8"/>
    <w:semiHidden/>
    <w:unhideWhenUsed/>
    <w:qFormat/>
    <w:uiPriority w:val="99"/>
    <w:rPr>
      <w:sz w:val="18"/>
      <w:szCs w:val="18"/>
    </w:rPr>
  </w:style>
  <w:style w:type="paragraph" w:styleId="15">
    <w:name w:val="footer"/>
    <w:basedOn w:val="1"/>
    <w:link w:val="37"/>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3"/>
    <w:qFormat/>
    <w:uiPriority w:val="39"/>
  </w:style>
  <w:style w:type="paragraph" w:styleId="18">
    <w:name w:val="toc 4"/>
    <w:basedOn w:val="1"/>
    <w:next w:val="1"/>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1">
    <w:name w:val="p0"/>
    <w:basedOn w:val="1"/>
    <w:qFormat/>
    <w:uiPriority w:val="0"/>
    <w:pPr>
      <w:widowControl/>
    </w:pPr>
    <w:rPr>
      <w:kern w:val="0"/>
      <w:szCs w:val="21"/>
    </w:rPr>
  </w:style>
  <w:style w:type="paragraph" w:customStyle="1" w:styleId="32">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character" w:customStyle="1" w:styleId="33">
    <w:name w:val="目录 1 Char"/>
    <w:link w:val="17"/>
    <w:qFormat/>
    <w:uiPriority w:val="0"/>
  </w:style>
  <w:style w:type="character" w:customStyle="1" w:styleId="34">
    <w:name w:val="目录 3 Char"/>
    <w:link w:val="9"/>
    <w:uiPriority w:val="0"/>
  </w:style>
  <w:style w:type="character" w:customStyle="1" w:styleId="35">
    <w:name w:val="black21"/>
    <w:uiPriority w:val="0"/>
    <w:rPr>
      <w:color w:val="000000"/>
      <w:sz w:val="21"/>
      <w:szCs w:val="21"/>
      <w:u w:val="none"/>
    </w:rPr>
  </w:style>
  <w:style w:type="character" w:customStyle="1" w:styleId="36">
    <w:name w:val="标题 1 Char"/>
    <w:link w:val="2"/>
    <w:qFormat/>
    <w:uiPriority w:val="0"/>
    <w:rPr>
      <w:b/>
      <w:kern w:val="44"/>
      <w:sz w:val="44"/>
    </w:rPr>
  </w:style>
  <w:style w:type="character" w:customStyle="1" w:styleId="37">
    <w:name w:val="页脚 Char"/>
    <w:link w:val="15"/>
    <w:qFormat/>
    <w:uiPriority w:val="0"/>
    <w:rPr>
      <w:kern w:val="2"/>
      <w:sz w:val="18"/>
      <w:szCs w:val="18"/>
    </w:rPr>
  </w:style>
  <w:style w:type="character" w:customStyle="1" w:styleId="38">
    <w:name w:val="批注框文本 Char"/>
    <w:link w:val="14"/>
    <w:semiHidden/>
    <w:qFormat/>
    <w:uiPriority w:val="99"/>
    <w:rPr>
      <w:kern w:val="2"/>
      <w:sz w:val="18"/>
      <w:szCs w:val="18"/>
    </w:rPr>
  </w:style>
  <w:style w:type="character" w:customStyle="1" w:styleId="39">
    <w:name w:val="批注文字 Char"/>
    <w:link w:val="5"/>
    <w:qFormat/>
    <w:uiPriority w:val="99"/>
    <w:rPr>
      <w:kern w:val="2"/>
      <w:sz w:val="21"/>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1778</Words>
  <Characters>10136</Characters>
  <Lines>84</Lines>
  <Paragraphs>23</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2018-03-12T08:54:00Z</dcterms:created>
  <dc:creator>zgy2010</dc:creator>
  <cp:lastModifiedBy>lishun</cp:lastModifiedBy>
  <dcterms:modified xsi:type="dcterms:W3CDTF">2020-11-18T08:33:43Z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