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r>
        <w:rPr>
          <w:rFonts w:hint="eastAsia" w:eastAsia="黑体"/>
          <w:b/>
          <w:bCs/>
          <w:color w:val="130000"/>
          <w:sz w:val="84"/>
        </w:rPr>
        <w:t>招标文件</w:t>
      </w:r>
    </w:p>
    <w:p>
      <w:pPr>
        <w:jc w:val="center"/>
        <w:rPr>
          <w:b/>
          <w:bCs/>
          <w:color w:val="170000"/>
          <w:sz w:val="32"/>
        </w:rPr>
      </w:pPr>
      <w:r>
        <w:rPr>
          <w:rFonts w:hint="eastAsia"/>
          <w:b/>
          <w:bCs/>
          <w:color w:val="170000"/>
          <w:sz w:val="32"/>
        </w:rPr>
        <w:t>（编号： MGLWL</w:t>
      </w:r>
      <w:r>
        <w:rPr>
          <w:b/>
          <w:bCs/>
          <w:color w:val="170000"/>
          <w:sz w:val="32"/>
        </w:rPr>
        <w:t>20</w:t>
      </w:r>
      <w:r>
        <w:rPr>
          <w:rFonts w:hint="eastAsia"/>
          <w:b/>
          <w:bCs/>
          <w:color w:val="170000"/>
          <w:sz w:val="32"/>
        </w:rPr>
        <w:t>20</w:t>
      </w:r>
      <w:r>
        <w:rPr>
          <w:rFonts w:hint="eastAsia"/>
          <w:b/>
          <w:bCs/>
          <w:color w:val="170000"/>
          <w:sz w:val="32"/>
          <w:lang w:val="en-US" w:eastAsia="zh-CN"/>
        </w:rPr>
        <w:t>1</w:t>
      </w:r>
      <w:r>
        <w:rPr>
          <w:rFonts w:hint="eastAsia"/>
          <w:b/>
          <w:bCs/>
          <w:color w:val="170000"/>
          <w:sz w:val="32"/>
        </w:rPr>
        <w:t>1</w:t>
      </w:r>
      <w:r>
        <w:rPr>
          <w:rFonts w:hint="eastAsia"/>
          <w:b/>
          <w:bCs/>
          <w:color w:val="170000"/>
          <w:sz w:val="32"/>
          <w:lang w:val="en-US" w:eastAsia="zh-CN"/>
        </w:rPr>
        <w:t>17</w:t>
      </w:r>
      <w:r>
        <w:rPr>
          <w:rFonts w:hint="eastAsia"/>
          <w:b/>
          <w:bCs/>
          <w:color w:val="170000"/>
          <w:sz w:val="32"/>
        </w:rPr>
        <w:t>）</w:t>
      </w:r>
    </w:p>
    <w:p>
      <w:pPr>
        <w:spacing w:line="600" w:lineRule="exact"/>
        <w:jc w:val="center"/>
        <w:rPr>
          <w:rFonts w:eastAsia="黑体"/>
          <w:color w:val="1B0000"/>
          <w:sz w:val="36"/>
        </w:rPr>
      </w:pPr>
    </w:p>
    <w:p>
      <w:pPr>
        <w:spacing w:line="600" w:lineRule="exact"/>
        <w:jc w:val="center"/>
        <w:rPr>
          <w:rFonts w:eastAsia="黑体"/>
          <w:color w:val="1F0000"/>
          <w:sz w:val="36"/>
        </w:rPr>
      </w:pPr>
    </w:p>
    <w:p>
      <w:pPr>
        <w:spacing w:line="600" w:lineRule="exact"/>
        <w:jc w:val="center"/>
        <w:rPr>
          <w:rFonts w:eastAsia="黑体"/>
          <w:color w:val="230000"/>
          <w:sz w:val="36"/>
        </w:rPr>
      </w:pPr>
    </w:p>
    <w:p>
      <w:pPr>
        <w:spacing w:line="600" w:lineRule="exact"/>
        <w:jc w:val="center"/>
        <w:rPr>
          <w:rFonts w:eastAsia="黑体"/>
          <w:color w:val="270000"/>
          <w:sz w:val="36"/>
        </w:rPr>
      </w:pPr>
    </w:p>
    <w:p>
      <w:pPr>
        <w:spacing w:line="600" w:lineRule="exact"/>
        <w:jc w:val="center"/>
        <w:rPr>
          <w:rFonts w:eastAsia="黑体"/>
          <w:color w:val="2B0000"/>
          <w:sz w:val="36"/>
        </w:rPr>
      </w:pPr>
    </w:p>
    <w:p>
      <w:pPr>
        <w:spacing w:line="600" w:lineRule="exact"/>
        <w:jc w:val="center"/>
        <w:rPr>
          <w:rFonts w:eastAsia="黑体"/>
          <w:color w:val="2F0000"/>
          <w:sz w:val="36"/>
        </w:rPr>
      </w:pPr>
    </w:p>
    <w:p>
      <w:pPr>
        <w:spacing w:line="600" w:lineRule="exact"/>
        <w:jc w:val="center"/>
        <w:rPr>
          <w:rFonts w:eastAsia="黑体"/>
          <w:color w:val="330000"/>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r>
        <w:rPr>
          <w:rFonts w:hint="eastAsia" w:eastAsia="黑体"/>
          <w:sz w:val="36"/>
        </w:rPr>
        <w:t>荣盛盟固利新能源科技有限公司</w:t>
      </w:r>
    </w:p>
    <w:p>
      <w:pPr>
        <w:spacing w:line="600" w:lineRule="exact"/>
        <w:jc w:val="center"/>
        <w:rPr>
          <w:sz w:val="28"/>
        </w:rPr>
        <w:sectPr>
          <w:headerReference r:id="rId4" w:type="first"/>
          <w:headerReference r:id="rId3" w:type="default"/>
          <w:footerReference r:id="rId5" w:type="default"/>
          <w:pgSz w:w="11906" w:h="16838"/>
          <w:pgMar w:top="624" w:right="851" w:bottom="964" w:left="1418" w:header="851" w:footer="992" w:gutter="0"/>
          <w:pgNumType w:start="1"/>
          <w:cols w:space="720" w:num="1"/>
          <w:docGrid w:type="lines" w:linePitch="312" w:charSpace="0"/>
        </w:sectPr>
      </w:pPr>
      <w:r>
        <w:rPr>
          <w:rFonts w:hint="eastAsia"/>
          <w:sz w:val="36"/>
          <w:szCs w:val="36"/>
        </w:rPr>
        <w:t>2020年1</w:t>
      </w:r>
      <w:r>
        <w:rPr>
          <w:rFonts w:hint="eastAsia"/>
          <w:sz w:val="36"/>
          <w:szCs w:val="36"/>
          <w:lang w:val="en-US" w:eastAsia="zh-CN"/>
        </w:rPr>
        <w:t>1</w:t>
      </w:r>
      <w:r>
        <w:rPr>
          <w:rFonts w:hint="eastAsia"/>
          <w:sz w:val="36"/>
          <w:szCs w:val="36"/>
        </w:rPr>
        <w:t>月</w:t>
      </w:r>
      <w:r>
        <w:rPr>
          <w:rFonts w:hint="eastAsia"/>
          <w:sz w:val="28"/>
        </w:rPr>
        <w:t xml:space="preserve"> </w:t>
      </w:r>
    </w:p>
    <w:p>
      <w:pPr>
        <w:pStyle w:val="30"/>
      </w:pPr>
      <w:r>
        <w:rPr>
          <w:lang w:val="zh-CN"/>
        </w:rPr>
        <w:t>目录</w:t>
      </w:r>
    </w:p>
    <w:p>
      <w:pPr>
        <w:pStyle w:val="17"/>
        <w:tabs>
          <w:tab w:val="right" w:leader="dot" w:pos="8296"/>
        </w:tabs>
        <w:rPr>
          <w:rFonts w:ascii="Calibri" w:hAnsi="Calibri" w:cs="黑体"/>
          <w:b/>
          <w:bCs/>
          <w:color w:val="0000FF"/>
          <w:sz w:val="24"/>
        </w:rPr>
      </w:pPr>
      <w:r>
        <w:rPr>
          <w:sz w:val="24"/>
        </w:rPr>
        <w:fldChar w:fldCharType="begin"/>
      </w:r>
      <w:r>
        <w:rPr>
          <w:sz w:val="24"/>
        </w:rPr>
        <w:instrText xml:space="preserve"> TOC \o "1-3" \h \z \u </w:instrText>
      </w:r>
      <w:r>
        <w:rPr>
          <w:sz w:val="24"/>
        </w:rPr>
        <w:fldChar w:fldCharType="separate"/>
      </w:r>
      <w:r>
        <w:fldChar w:fldCharType="begin"/>
      </w:r>
      <w:r>
        <w:instrText xml:space="preserve">HYPERLINK  \l "_Toc509413672" </w:instrText>
      </w:r>
      <w:r>
        <w:fldChar w:fldCharType="separate"/>
      </w:r>
      <w:r>
        <w:rPr>
          <w:rStyle w:val="26"/>
          <w:b/>
          <w:bCs/>
          <w:kern w:val="44"/>
          <w:sz w:val="24"/>
        </w:rPr>
        <w:t>摘　要</w:t>
      </w:r>
      <w:r>
        <w:rPr>
          <w:b/>
          <w:bCs/>
          <w:color w:val="0000FF"/>
          <w:sz w:val="24"/>
        </w:rPr>
        <w:tab/>
      </w:r>
      <w:r>
        <w:rPr>
          <w:b/>
          <w:bCs/>
          <w:color w:val="0000FF"/>
          <w:sz w:val="24"/>
        </w:rPr>
        <w:fldChar w:fldCharType="begin"/>
      </w:r>
      <w:r>
        <w:rPr>
          <w:b/>
          <w:bCs/>
          <w:color w:val="0000FF"/>
          <w:sz w:val="24"/>
        </w:rPr>
        <w:instrText xml:space="preserve"> PAGEREF _Toc509413672 \h </w:instrText>
      </w:r>
      <w:r>
        <w:rPr>
          <w:b/>
          <w:bCs/>
          <w:color w:val="0000FF"/>
          <w:sz w:val="24"/>
        </w:rPr>
        <w:fldChar w:fldCharType="separate"/>
      </w:r>
      <w:r>
        <w:rPr>
          <w:b/>
          <w:bCs/>
          <w:color w:val="0000FF"/>
          <w:sz w:val="24"/>
        </w:rPr>
        <w:t>- 3 -</w:t>
      </w:r>
      <w:r>
        <w:rPr>
          <w:b/>
          <w:bCs/>
          <w:color w:val="0000FF"/>
          <w:sz w:val="24"/>
        </w:rPr>
        <w:fldChar w:fldCharType="end"/>
      </w:r>
      <w: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"_Toc509413673" </w:instrText>
      </w:r>
      <w:r>
        <w:fldChar w:fldCharType="separate"/>
      </w:r>
      <w:r>
        <w:rPr>
          <w:rStyle w:val="26"/>
          <w:b/>
          <w:bCs/>
          <w:kern w:val="44"/>
          <w:sz w:val="24"/>
        </w:rPr>
        <w:t>第一章 投标须知</w:t>
      </w:r>
      <w:r>
        <w:rPr>
          <w:b/>
          <w:bCs/>
          <w:color w:val="0000FF"/>
          <w:sz w:val="24"/>
        </w:rPr>
        <w:tab/>
      </w:r>
      <w:r>
        <w:rPr>
          <w:b/>
          <w:bCs/>
          <w:color w:val="0000FF"/>
          <w:sz w:val="24"/>
        </w:rPr>
        <w:fldChar w:fldCharType="begin"/>
      </w:r>
      <w:r>
        <w:rPr>
          <w:b/>
          <w:bCs/>
          <w:color w:val="0000FF"/>
          <w:sz w:val="24"/>
        </w:rPr>
        <w:instrText xml:space="preserve"> PAGEREF _Toc509413673 \h </w:instrText>
      </w:r>
      <w:r>
        <w:rPr>
          <w:b/>
          <w:bCs/>
          <w:color w:val="0000FF"/>
          <w:sz w:val="24"/>
        </w:rPr>
        <w:fldChar w:fldCharType="separate"/>
      </w:r>
      <w:r>
        <w:rPr>
          <w:b/>
          <w:bCs/>
          <w:color w:val="0000FF"/>
          <w:sz w:val="24"/>
        </w:rPr>
        <w:t xml:space="preserve">- </w:t>
      </w:r>
      <w:r>
        <w:rPr>
          <w:rFonts w:hint="eastAsia"/>
          <w:b/>
          <w:bCs/>
          <w:color w:val="0000FF"/>
          <w:sz w:val="24"/>
        </w:rPr>
        <w:t>5</w:t>
      </w:r>
      <w:r>
        <w:rPr>
          <w:b/>
          <w:bCs/>
          <w:color w:val="0000FF"/>
          <w:sz w:val="24"/>
        </w:rPr>
        <w:t>-</w:t>
      </w:r>
      <w:r>
        <w:rPr>
          <w:b/>
          <w:bCs/>
          <w:color w:val="0000FF"/>
          <w:sz w:val="24"/>
        </w:rPr>
        <w:fldChar w:fldCharType="end"/>
      </w:r>
      <w:r>
        <w:fldChar w:fldCharType="end"/>
      </w:r>
    </w:p>
    <w:p>
      <w:pPr>
        <w:pStyle w:val="17"/>
        <w:tabs>
          <w:tab w:val="right" w:leader="dot" w:pos="8296"/>
        </w:tabs>
        <w:rPr>
          <w:rStyle w:val="26"/>
          <w:b/>
          <w:bCs/>
          <w:sz w:val="24"/>
        </w:rPr>
      </w:pPr>
      <w:r>
        <w:rPr>
          <w:b/>
          <w:bCs/>
          <w:color w:val="0000FF"/>
        </w:rPr>
        <w:fldChar w:fldCharType="begin"/>
      </w:r>
      <w:r>
        <w:rPr>
          <w:b/>
          <w:bCs/>
          <w:color w:val="0000FF"/>
        </w:rPr>
        <w:instrText xml:space="preserve">HYPERLINK  \l "_Toc509413674" </w:instrText>
      </w:r>
      <w:r>
        <w:rPr>
          <w:b/>
          <w:bCs/>
          <w:color w:val="0000FF"/>
        </w:rPr>
        <w:fldChar w:fldCharType="separate"/>
      </w:r>
      <w:r>
        <w:rPr>
          <w:rStyle w:val="26"/>
          <w:b/>
          <w:bCs/>
          <w:sz w:val="24"/>
        </w:rPr>
        <w:t xml:space="preserve">第二章 </w:t>
      </w:r>
      <w:r>
        <w:fldChar w:fldCharType="begin"/>
      </w:r>
      <w:r>
        <w:instrText xml:space="preserve">HYPERLINK  \l "_Toc28249" </w:instrText>
      </w:r>
      <w:r>
        <w:fldChar w:fldCharType="separate"/>
      </w:r>
      <w:r>
        <w:rPr>
          <w:rFonts w:hint="eastAsia"/>
          <w:b/>
          <w:bCs/>
          <w:color w:val="0000FF"/>
          <w:szCs w:val="28"/>
        </w:rPr>
        <w:t>投标格式文件</w:t>
      </w:r>
      <w:r>
        <w:rPr>
          <w:b/>
          <w:bCs/>
          <w:color w:val="0000FF"/>
        </w:rPr>
        <w:tab/>
      </w:r>
      <w:r>
        <w:fldChar w:fldCharType="end"/>
      </w:r>
      <w:r>
        <w:rPr>
          <w:b/>
          <w:bCs/>
          <w:color w:val="0000FF"/>
        </w:rPr>
        <w:fldChar w:fldCharType="begin"/>
      </w:r>
      <w:r>
        <w:rPr>
          <w:b/>
          <w:bCs/>
          <w:color w:val="0000FF"/>
        </w:rPr>
        <w:instrText xml:space="preserve"> PAGEREF _Toc32686 </w:instrText>
      </w:r>
      <w:r>
        <w:rPr>
          <w:b/>
          <w:bCs/>
          <w:color w:val="0000FF"/>
        </w:rPr>
        <w:fldChar w:fldCharType="separate"/>
      </w:r>
      <w:r>
        <w:rPr>
          <w:b/>
          <w:bCs/>
          <w:color w:val="0000FF"/>
        </w:rPr>
        <w:t xml:space="preserve">- </w:t>
      </w:r>
      <w:r>
        <w:rPr>
          <w:rFonts w:hint="eastAsia"/>
          <w:b/>
          <w:bCs/>
          <w:color w:val="0000FF"/>
        </w:rPr>
        <w:t>12</w:t>
      </w:r>
      <w:r>
        <w:rPr>
          <w:b/>
          <w:bCs/>
          <w:color w:val="0000FF"/>
        </w:rPr>
        <w:t xml:space="preserve"> -</w:t>
      </w:r>
      <w:r>
        <w:rPr>
          <w:b/>
          <w:bCs/>
          <w:color w:val="0000FF"/>
        </w:rPr>
        <w:fldChar w:fldCharType="end"/>
      </w:r>
    </w:p>
    <w:p>
      <w:pPr>
        <w:pStyle w:val="17"/>
        <w:tabs>
          <w:tab w:val="right" w:leader="dot" w:pos="8296"/>
        </w:tabs>
        <w:rPr>
          <w:rFonts w:ascii="Calibri" w:hAnsi="Calibri" w:cs="黑体"/>
          <w:b/>
          <w:bCs/>
          <w:color w:val="0000FF"/>
          <w:sz w:val="24"/>
        </w:rPr>
      </w:pPr>
      <w:r>
        <w:rPr>
          <w:rStyle w:val="26"/>
          <w:rFonts w:hint="eastAsia"/>
          <w:b/>
          <w:bCs/>
          <w:sz w:val="24"/>
        </w:rPr>
        <w:t xml:space="preserve">第三章 </w:t>
      </w:r>
      <w:r>
        <w:rPr>
          <w:rStyle w:val="26"/>
          <w:b/>
          <w:bCs/>
          <w:sz w:val="24"/>
        </w:rPr>
        <w:t>招标技术要求</w:t>
      </w:r>
      <w:r>
        <w:rPr>
          <w:b/>
          <w:bCs/>
          <w:color w:val="0000FF"/>
          <w:sz w:val="24"/>
        </w:rPr>
        <w:tab/>
      </w:r>
      <w:r>
        <w:rPr>
          <w:b/>
          <w:bCs/>
          <w:color w:val="0000FF"/>
          <w:sz w:val="24"/>
        </w:rPr>
        <w:fldChar w:fldCharType="begin"/>
      </w:r>
      <w:r>
        <w:rPr>
          <w:b/>
          <w:bCs/>
          <w:color w:val="0000FF"/>
          <w:sz w:val="24"/>
        </w:rPr>
        <w:instrText xml:space="preserve"> PAGEREF _Toc509413674 \h </w:instrText>
      </w:r>
      <w:r>
        <w:rPr>
          <w:b/>
          <w:bCs/>
          <w:color w:val="0000FF"/>
          <w:sz w:val="24"/>
        </w:rPr>
        <w:fldChar w:fldCharType="separate"/>
      </w:r>
      <w:r>
        <w:rPr>
          <w:b/>
          <w:bCs/>
          <w:color w:val="0000FF"/>
          <w:sz w:val="24"/>
        </w:rPr>
        <w:t xml:space="preserve">- </w:t>
      </w:r>
      <w:r>
        <w:rPr>
          <w:rFonts w:hint="eastAsia"/>
          <w:b/>
          <w:bCs/>
          <w:color w:val="0000FF"/>
          <w:sz w:val="24"/>
        </w:rPr>
        <w:t>13</w:t>
      </w:r>
      <w:r>
        <w:rPr>
          <w:b/>
          <w:bCs/>
          <w:color w:val="0000FF"/>
          <w:sz w:val="24"/>
        </w:rPr>
        <w:t>-</w:t>
      </w:r>
      <w:r>
        <w:rPr>
          <w:b/>
          <w:bCs/>
          <w:color w:val="0000FF"/>
          <w:sz w:val="24"/>
        </w:rPr>
        <w:fldChar w:fldCharType="end"/>
      </w:r>
      <w:r>
        <w:rPr>
          <w:b/>
          <w:bCs/>
          <w:color w:val="0000FF"/>
        </w:rP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"_Toc509413675" </w:instrText>
      </w:r>
      <w:r>
        <w:fldChar w:fldCharType="separate"/>
      </w:r>
      <w:r>
        <w:rPr>
          <w:rStyle w:val="26"/>
          <w:b/>
          <w:bCs/>
          <w:kern w:val="44"/>
          <w:sz w:val="24"/>
        </w:rPr>
        <w:t>第</w:t>
      </w:r>
      <w:r>
        <w:rPr>
          <w:rStyle w:val="26"/>
          <w:rFonts w:hint="eastAsia"/>
          <w:b/>
          <w:bCs/>
          <w:kern w:val="44"/>
          <w:sz w:val="24"/>
        </w:rPr>
        <w:t>四</w:t>
      </w:r>
      <w:r>
        <w:rPr>
          <w:rStyle w:val="26"/>
          <w:b/>
          <w:bCs/>
          <w:kern w:val="44"/>
          <w:sz w:val="24"/>
        </w:rPr>
        <w:t>章 合同条款要求</w:t>
      </w:r>
      <w:r>
        <w:rPr>
          <w:b/>
          <w:bCs/>
          <w:color w:val="0000FF"/>
          <w:sz w:val="24"/>
        </w:rPr>
        <w:tab/>
      </w:r>
      <w:r>
        <w:rPr>
          <w:b/>
          <w:bCs/>
          <w:color w:val="0000FF"/>
          <w:sz w:val="24"/>
        </w:rPr>
        <w:fldChar w:fldCharType="begin"/>
      </w:r>
      <w:r>
        <w:rPr>
          <w:b/>
          <w:bCs/>
          <w:color w:val="0000FF"/>
          <w:sz w:val="24"/>
        </w:rPr>
        <w:instrText xml:space="preserve"> PAGEREF _Toc509413675 \h </w:instrText>
      </w:r>
      <w:r>
        <w:rPr>
          <w:b/>
          <w:bCs/>
          <w:color w:val="0000FF"/>
          <w:sz w:val="24"/>
        </w:rPr>
        <w:fldChar w:fldCharType="separate"/>
      </w:r>
      <w:r>
        <w:rPr>
          <w:b/>
          <w:bCs/>
          <w:color w:val="0000FF"/>
          <w:sz w:val="24"/>
        </w:rPr>
        <w:t>- 1</w:t>
      </w:r>
      <w:r>
        <w:rPr>
          <w:rFonts w:hint="eastAsia"/>
          <w:b/>
          <w:bCs/>
          <w:color w:val="0000FF"/>
          <w:sz w:val="24"/>
        </w:rPr>
        <w:t>4</w:t>
      </w:r>
      <w:r>
        <w:rPr>
          <w:b/>
          <w:bCs/>
          <w:color w:val="0000FF"/>
          <w:sz w:val="24"/>
        </w:rPr>
        <w:t>-</w:t>
      </w:r>
      <w:r>
        <w:rPr>
          <w:b/>
          <w:bCs/>
          <w:color w:val="0000FF"/>
          <w:sz w:val="24"/>
        </w:rPr>
        <w:fldChar w:fldCharType="end"/>
      </w:r>
      <w:r>
        <w:fldChar w:fldCharType="end"/>
      </w:r>
    </w:p>
    <w:p>
      <w:pPr>
        <w:pStyle w:val="17"/>
        <w:tabs>
          <w:tab w:val="right" w:leader="dot" w:pos="8296"/>
        </w:tabs>
        <w:rPr>
          <w:rFonts w:ascii="Calibri" w:hAnsi="Calibri" w:cs="黑体"/>
          <w:sz w:val="24"/>
        </w:rPr>
      </w:pPr>
      <w:r>
        <w:fldChar w:fldCharType="begin"/>
      </w:r>
      <w:r>
        <w:instrText xml:space="preserve">HYPERLINK  \l "_Toc509413676" </w:instrText>
      </w:r>
      <w:r>
        <w:fldChar w:fldCharType="separate"/>
      </w:r>
      <w:r>
        <w:rPr>
          <w:rStyle w:val="26"/>
          <w:b/>
          <w:bCs/>
          <w:kern w:val="44"/>
          <w:sz w:val="24"/>
        </w:rPr>
        <w:t>第</w:t>
      </w:r>
      <w:r>
        <w:rPr>
          <w:rStyle w:val="26"/>
          <w:rFonts w:hint="eastAsia"/>
          <w:b/>
          <w:bCs/>
          <w:kern w:val="44"/>
          <w:sz w:val="24"/>
        </w:rPr>
        <w:t>五</w:t>
      </w:r>
      <w:r>
        <w:rPr>
          <w:rStyle w:val="26"/>
          <w:b/>
          <w:bCs/>
          <w:kern w:val="44"/>
          <w:sz w:val="24"/>
        </w:rPr>
        <w:t>章 供应商质量基本要求</w:t>
      </w:r>
      <w:r>
        <w:rPr>
          <w:b/>
          <w:bCs/>
          <w:color w:val="0000FF"/>
          <w:sz w:val="24"/>
        </w:rPr>
        <w:tab/>
      </w:r>
      <w:r>
        <w:rPr>
          <w:b/>
          <w:bCs/>
          <w:color w:val="0000FF"/>
          <w:sz w:val="24"/>
        </w:rPr>
        <w:fldChar w:fldCharType="begin"/>
      </w:r>
      <w:r>
        <w:rPr>
          <w:b/>
          <w:bCs/>
          <w:color w:val="0000FF"/>
          <w:sz w:val="24"/>
        </w:rPr>
        <w:instrText xml:space="preserve"> PAGEREF _Toc509413676 \h </w:instrText>
      </w:r>
      <w:r>
        <w:rPr>
          <w:b/>
          <w:bCs/>
          <w:color w:val="0000FF"/>
          <w:sz w:val="24"/>
        </w:rPr>
        <w:fldChar w:fldCharType="separate"/>
      </w:r>
      <w:r>
        <w:rPr>
          <w:b/>
          <w:bCs/>
          <w:color w:val="0000FF"/>
          <w:sz w:val="24"/>
        </w:rPr>
        <w:t>- 1</w:t>
      </w:r>
      <w:r>
        <w:rPr>
          <w:rFonts w:hint="eastAsia"/>
          <w:b/>
          <w:bCs/>
          <w:color w:val="0000FF"/>
          <w:sz w:val="24"/>
        </w:rPr>
        <w:t>9</w:t>
      </w:r>
      <w:r>
        <w:rPr>
          <w:b/>
          <w:bCs/>
          <w:color w:val="0000FF"/>
          <w:sz w:val="24"/>
        </w:rPr>
        <w:t>-</w:t>
      </w:r>
      <w:r>
        <w:rPr>
          <w:b/>
          <w:bCs/>
          <w:color w:val="0000FF"/>
          <w:sz w:val="24"/>
        </w:rPr>
        <w:fldChar w:fldCharType="end"/>
      </w:r>
      <w:r>
        <w:fldChar w:fldCharType="end"/>
      </w:r>
    </w:p>
    <w:p>
      <w:r>
        <w:rPr>
          <w:b/>
          <w:bCs/>
          <w:sz w:val="24"/>
          <w:lang w:val="zh-CN"/>
        </w:rPr>
        <w:fldChar w:fldCharType="end"/>
      </w:r>
    </w:p>
    <w:p>
      <w:pPr>
        <w:widowControl/>
        <w:jc w:val="left"/>
      </w:pPr>
    </w:p>
    <w:p>
      <w:pPr>
        <w:widowControl/>
        <w:jc w:val="left"/>
        <w:rPr>
          <w:rStyle w:val="36"/>
          <w:sz w:val="28"/>
          <w:szCs w:val="28"/>
        </w:rPr>
      </w:pPr>
    </w:p>
    <w:p>
      <w:pPr>
        <w:widowControl/>
        <w:jc w:val="left"/>
        <w:rPr>
          <w:rStyle w:val="36"/>
          <w:sz w:val="28"/>
          <w:szCs w:val="28"/>
        </w:rPr>
      </w:pPr>
      <w:r>
        <w:rPr>
          <w:rStyle w:val="36"/>
          <w:sz w:val="28"/>
          <w:szCs w:val="28"/>
        </w:rPr>
        <w:br w:type="page"/>
      </w:r>
    </w:p>
    <w:p>
      <w:pPr>
        <w:overflowPunct w:val="0"/>
        <w:spacing w:line="360" w:lineRule="auto"/>
        <w:jc w:val="center"/>
        <w:outlineLvl w:val="0"/>
        <w:rPr>
          <w:rFonts w:ascii="宋体" w:hAnsi="宋体"/>
          <w:b/>
          <w:sz w:val="36"/>
          <w:szCs w:val="36"/>
        </w:rPr>
      </w:pPr>
      <w:bookmarkStart w:id="0" w:name="_Toc509411550"/>
      <w:bookmarkStart w:id="1" w:name="_Toc509411470"/>
      <w:bookmarkStart w:id="2" w:name="_Toc509413672"/>
      <w:bookmarkStart w:id="3" w:name="_Toc508467345"/>
      <w:r>
        <w:rPr>
          <w:rStyle w:val="36"/>
          <w:rFonts w:hint="eastAsia"/>
          <w:sz w:val="28"/>
          <w:szCs w:val="28"/>
        </w:rPr>
        <w:t>摘　要</w:t>
      </w:r>
      <w:bookmarkEnd w:id="0"/>
      <w:bookmarkEnd w:id="1"/>
      <w:bookmarkEnd w:id="2"/>
      <w:bookmarkEnd w:id="3"/>
    </w:p>
    <w:tbl>
      <w:tblPr>
        <w:tblStyle w:val="23"/>
        <w:tblW w:w="8545" w:type="dxa"/>
        <w:tblInd w:w="3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303"/>
        <w:gridCol w:w="5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720" w:type="dxa"/>
            <w:vAlign w:val="center"/>
          </w:tcPr>
          <w:p>
            <w:pPr>
              <w:overflowPunct w:val="0"/>
              <w:jc w:val="center"/>
              <w:rPr>
                <w:rFonts w:ascii="宋体" w:hAnsi="宋体"/>
                <w:sz w:val="24"/>
              </w:rPr>
            </w:pPr>
            <w:r>
              <w:rPr>
                <w:rFonts w:hint="eastAsia" w:ascii="宋体" w:hAnsi="宋体"/>
                <w:sz w:val="24"/>
              </w:rPr>
              <w:t>项号</w:t>
            </w:r>
          </w:p>
        </w:tc>
        <w:tc>
          <w:tcPr>
            <w:tcW w:w="2303" w:type="dxa"/>
            <w:vAlign w:val="center"/>
          </w:tcPr>
          <w:p>
            <w:pPr>
              <w:overflowPunct w:val="0"/>
              <w:jc w:val="center"/>
              <w:rPr>
                <w:rFonts w:ascii="宋体" w:hAnsi="宋体"/>
                <w:sz w:val="24"/>
              </w:rPr>
            </w:pPr>
            <w:r>
              <w:rPr>
                <w:rFonts w:hint="eastAsia" w:ascii="宋体" w:hAnsi="宋体"/>
                <w:sz w:val="24"/>
              </w:rPr>
              <w:t>主题</w:t>
            </w:r>
          </w:p>
        </w:tc>
        <w:tc>
          <w:tcPr>
            <w:tcW w:w="5522" w:type="dxa"/>
            <w:vAlign w:val="center"/>
          </w:tcPr>
          <w:p>
            <w:pPr>
              <w:overflowPunct w:val="0"/>
              <w:jc w:val="center"/>
              <w:rPr>
                <w:rFonts w:ascii="宋体" w:hAnsi="宋体"/>
                <w:sz w:val="24"/>
              </w:rPr>
            </w:pPr>
            <w:r>
              <w:rPr>
                <w:rFonts w:hint="eastAsia" w:ascii="宋体" w:hAnsi="宋体"/>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 xml:space="preserve">1 </w:t>
            </w:r>
          </w:p>
        </w:tc>
        <w:tc>
          <w:tcPr>
            <w:tcW w:w="2303" w:type="dxa"/>
            <w:vAlign w:val="center"/>
          </w:tcPr>
          <w:p>
            <w:pPr>
              <w:overflowPunct w:val="0"/>
              <w:spacing w:line="340" w:lineRule="exact"/>
              <w:rPr>
                <w:rFonts w:ascii="宋体" w:hAnsi="宋体"/>
                <w:szCs w:val="21"/>
              </w:rPr>
            </w:pPr>
            <w:r>
              <w:rPr>
                <w:rFonts w:hint="eastAsia" w:ascii="宋体" w:hAnsi="宋体"/>
                <w:szCs w:val="21"/>
              </w:rPr>
              <w:t>招标人</w:t>
            </w:r>
          </w:p>
        </w:tc>
        <w:tc>
          <w:tcPr>
            <w:tcW w:w="5522" w:type="dxa"/>
            <w:vAlign w:val="center"/>
          </w:tcPr>
          <w:p>
            <w:pPr>
              <w:snapToGrid w:val="0"/>
              <w:spacing w:line="340" w:lineRule="exact"/>
              <w:rPr>
                <w:rFonts w:ascii="宋体" w:hAnsi="宋体"/>
                <w:szCs w:val="21"/>
              </w:rPr>
            </w:pPr>
            <w:r>
              <w:rPr>
                <w:rFonts w:hint="eastAsia" w:ascii="宋体" w:hAnsi="宋体"/>
                <w:szCs w:val="21"/>
              </w:rPr>
              <w:t>荣盛盟固利新能源科技有限公司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2</w:t>
            </w:r>
          </w:p>
        </w:tc>
        <w:tc>
          <w:tcPr>
            <w:tcW w:w="2303" w:type="dxa"/>
            <w:vAlign w:val="center"/>
          </w:tcPr>
          <w:p>
            <w:pPr>
              <w:overflowPunct w:val="0"/>
              <w:spacing w:line="340" w:lineRule="exact"/>
              <w:rPr>
                <w:rFonts w:ascii="宋体" w:hAnsi="宋体"/>
                <w:szCs w:val="21"/>
              </w:rPr>
            </w:pPr>
            <w:r>
              <w:rPr>
                <w:rFonts w:hint="eastAsia" w:ascii="宋体" w:hAnsi="宋体"/>
                <w:szCs w:val="21"/>
              </w:rPr>
              <w:t>招标采购</w:t>
            </w:r>
            <w:r>
              <w:rPr>
                <w:rFonts w:ascii="宋体" w:hAnsi="宋体"/>
                <w:szCs w:val="21"/>
              </w:rPr>
              <w:t>内容</w:t>
            </w:r>
          </w:p>
        </w:tc>
        <w:tc>
          <w:tcPr>
            <w:tcW w:w="5522" w:type="dxa"/>
            <w:vAlign w:val="center"/>
          </w:tcPr>
          <w:p>
            <w:pPr>
              <w:snapToGrid w:val="0"/>
              <w:spacing w:line="340" w:lineRule="exact"/>
              <w:rPr>
                <w:rFonts w:ascii="宋体" w:hAnsi="宋体"/>
                <w:b/>
                <w:color w:val="FF0000"/>
                <w:szCs w:val="21"/>
              </w:rPr>
            </w:pPr>
            <w:r>
              <w:rPr>
                <w:rFonts w:hint="eastAsia" w:ascii="宋体" w:hAnsi="宋体"/>
                <w:bCs/>
                <w:szCs w:val="21"/>
              </w:rPr>
              <w:t>2020年</w:t>
            </w:r>
            <w:r>
              <w:rPr>
                <w:rFonts w:hint="eastAsia" w:ascii="宋体" w:hAnsi="宋体"/>
                <w:bCs/>
                <w:szCs w:val="21"/>
                <w:lang w:val="en-US" w:eastAsia="zh-CN"/>
              </w:rPr>
              <w:t>11</w:t>
            </w:r>
            <w:r>
              <w:rPr>
                <w:rFonts w:hint="eastAsia" w:ascii="宋体" w:hAnsi="宋体"/>
                <w:bCs/>
                <w:szCs w:val="21"/>
              </w:rPr>
              <w:t>月-2021年12月</w:t>
            </w:r>
            <w:r>
              <w:rPr>
                <w:rFonts w:hint="eastAsia" w:ascii="宋体" w:hAnsi="宋体"/>
                <w:b/>
                <w:bCs/>
                <w:color w:val="FF0000"/>
                <w:szCs w:val="21"/>
              </w:rPr>
              <w:t xml:space="preserve"> </w:t>
            </w:r>
            <w:r>
              <w:rPr>
                <w:rFonts w:hint="eastAsia" w:ascii="宋体" w:hAnsi="宋体"/>
                <w:b w:val="0"/>
                <w:bCs w:val="0"/>
                <w:color w:val="000000" w:themeColor="text1"/>
                <w:szCs w:val="21"/>
                <w:lang w:val="en-US" w:eastAsia="zh-CN"/>
              </w:rPr>
              <w:t>三元</w:t>
            </w:r>
            <w:r>
              <w:rPr>
                <w:rFonts w:hint="eastAsia" w:ascii="宋体" w:hAnsi="宋体"/>
                <w:bCs/>
                <w:color w:val="000000" w:themeColor="text1"/>
                <w:szCs w:val="21"/>
              </w:rPr>
              <w:t>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3</w:t>
            </w:r>
          </w:p>
        </w:tc>
        <w:tc>
          <w:tcPr>
            <w:tcW w:w="2303" w:type="dxa"/>
            <w:vAlign w:val="center"/>
          </w:tcPr>
          <w:p>
            <w:pPr>
              <w:overflowPunct w:val="0"/>
              <w:spacing w:line="340" w:lineRule="exact"/>
              <w:rPr>
                <w:rFonts w:ascii="宋体" w:hAnsi="宋体"/>
                <w:szCs w:val="21"/>
              </w:rPr>
            </w:pPr>
            <w:r>
              <w:rPr>
                <w:rFonts w:hint="eastAsia" w:ascii="宋体" w:hAnsi="宋体"/>
                <w:szCs w:val="21"/>
              </w:rPr>
              <w:t>预计总需求数量</w:t>
            </w:r>
          </w:p>
        </w:tc>
        <w:tc>
          <w:tcPr>
            <w:tcW w:w="5522" w:type="dxa"/>
            <w:vAlign w:val="center"/>
          </w:tcPr>
          <w:p>
            <w:pPr>
              <w:overflowPunct w:val="0"/>
              <w:spacing w:line="340" w:lineRule="exact"/>
              <w:rPr>
                <w:rFonts w:hint="default" w:ascii="宋体" w:hAnsi="宋体"/>
                <w:b w:val="0"/>
                <w:bCs/>
                <w:color w:val="000000" w:themeColor="text1"/>
                <w:szCs w:val="21"/>
                <w:lang w:val="en-US" w:eastAsia="zh-CN"/>
              </w:rPr>
            </w:pPr>
            <w:r>
              <w:rPr>
                <w:rFonts w:hint="eastAsia" w:ascii="宋体" w:hAnsi="宋体"/>
                <w:b w:val="0"/>
                <w:bCs/>
                <w:color w:val="000000" w:themeColor="text1"/>
                <w:szCs w:val="21"/>
                <w:lang w:val="en-US" w:eastAsia="zh-CN"/>
              </w:rPr>
              <w:t>三元：4551吨</w:t>
            </w:r>
          </w:p>
          <w:p>
            <w:pPr>
              <w:overflowPunct w:val="0"/>
              <w:spacing w:line="340" w:lineRule="exact"/>
              <w:rPr>
                <w:rFonts w:hint="default" w:ascii="宋体" w:hAnsi="宋体"/>
                <w:b/>
                <w:color w:val="FF0000"/>
                <w:szCs w:val="21"/>
                <w:lang w:val="en-US" w:eastAsia="zh-CN"/>
              </w:rPr>
            </w:pPr>
            <w:r>
              <w:rPr>
                <w:rFonts w:hint="eastAsia" w:ascii="宋体" w:hAnsi="宋体"/>
                <w:b w:val="0"/>
                <w:bCs/>
                <w:color w:val="000000" w:themeColor="text1"/>
                <w:szCs w:val="21"/>
                <w:lang w:val="en-US" w:eastAsia="zh-CN"/>
              </w:rPr>
              <w:t>钴酸锂：43.2吨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4</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招标文件领取或发放</w:t>
            </w:r>
          </w:p>
        </w:tc>
        <w:tc>
          <w:tcPr>
            <w:tcW w:w="5522" w:type="dxa"/>
            <w:vAlign w:val="center"/>
          </w:tcPr>
          <w:p>
            <w:pPr>
              <w:overflowPunct w:val="0"/>
              <w:spacing w:line="340" w:lineRule="exact"/>
              <w:rPr>
                <w:rFonts w:ascii="宋体" w:hAnsi="宋体"/>
                <w:szCs w:val="21"/>
              </w:rPr>
            </w:pPr>
            <w:r>
              <w:rPr>
                <w:rFonts w:hint="eastAsia" w:ascii="宋体" w:hAnsi="宋体"/>
                <w:szCs w:val="21"/>
              </w:rPr>
              <w:t>投标人到招标人采购部门领取或招标人以电子邮件方式发送给投标人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5</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招标文件的澄清</w:t>
            </w:r>
          </w:p>
        </w:tc>
        <w:tc>
          <w:tcPr>
            <w:tcW w:w="5522" w:type="dxa"/>
            <w:vAlign w:val="bottom"/>
          </w:tcPr>
          <w:p>
            <w:pPr>
              <w:spacing w:line="340" w:lineRule="exact"/>
              <w:rPr>
                <w:rFonts w:ascii="宋体" w:hAnsi="宋体"/>
              </w:rPr>
            </w:pPr>
            <w:r>
              <w:rPr>
                <w:rFonts w:ascii="宋体" w:hAnsi="宋体"/>
                <w:szCs w:val="21"/>
              </w:rPr>
              <w:t>投标</w:t>
            </w:r>
            <w:r>
              <w:rPr>
                <w:rFonts w:hint="eastAsia" w:ascii="宋体" w:hAnsi="宋体"/>
                <w:szCs w:val="21"/>
              </w:rPr>
              <w:t>人</w:t>
            </w:r>
            <w:r>
              <w:rPr>
                <w:rFonts w:ascii="宋体" w:hAnsi="宋体"/>
                <w:szCs w:val="21"/>
              </w:rPr>
              <w:t>对招标文件如有疑问，</w:t>
            </w:r>
            <w:r>
              <w:rPr>
                <w:rFonts w:hint="eastAsia" w:ascii="宋体" w:hAnsi="宋体"/>
                <w:szCs w:val="21"/>
              </w:rPr>
              <w:t>请在投标截止日四天以前，向招标人提出，招标人将在投标截止日二天以前，在网上进行公开说明或回答。重复性问题或是超过期限时间提出的疑问，招标人将不保证提供答复或说明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6</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招标文件变更方式</w:t>
            </w:r>
          </w:p>
        </w:tc>
        <w:tc>
          <w:tcPr>
            <w:tcW w:w="5522" w:type="dxa"/>
            <w:vAlign w:val="bottom"/>
          </w:tcPr>
          <w:p>
            <w:pPr>
              <w:pStyle w:val="12"/>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招标文件内容如果有任何修改变更，将以书面形式向投标人发布。招标人将不保证提供投标人个别通知的服务，请投标人自行关注招标人官方网站的招标信息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7</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投标文件装订要求</w:t>
            </w:r>
          </w:p>
        </w:tc>
        <w:tc>
          <w:tcPr>
            <w:tcW w:w="5522" w:type="dxa"/>
            <w:vAlign w:val="bottom"/>
          </w:tcPr>
          <w:p>
            <w:pPr>
              <w:pStyle w:val="10"/>
              <w:spacing w:line="340" w:lineRule="exact"/>
              <w:rPr>
                <w:rFonts w:hAnsi="宋体"/>
                <w:szCs w:val="21"/>
              </w:rPr>
            </w:pPr>
            <w:r>
              <w:rPr>
                <w:rFonts w:hint="eastAsia" w:hAnsi="宋体"/>
                <w:b/>
                <w:szCs w:val="21"/>
              </w:rPr>
              <w:t>投标文件共分为三部分，分别是</w:t>
            </w:r>
            <w:r>
              <w:rPr>
                <w:rFonts w:hint="eastAsia" w:hAnsi="宋体"/>
                <w:b/>
                <w:color w:val="FF0000"/>
                <w:szCs w:val="21"/>
              </w:rPr>
              <w:t>资格标文件</w:t>
            </w:r>
            <w:r>
              <w:rPr>
                <w:rFonts w:hint="eastAsia" w:hAnsi="宋体"/>
                <w:b/>
                <w:szCs w:val="21"/>
              </w:rPr>
              <w:t>、</w:t>
            </w:r>
            <w:r>
              <w:rPr>
                <w:rFonts w:hint="eastAsia" w:hAnsi="宋体"/>
                <w:b/>
                <w:color w:val="FF0000"/>
                <w:szCs w:val="21"/>
              </w:rPr>
              <w:t>商务标文件</w:t>
            </w:r>
            <w:r>
              <w:rPr>
                <w:rFonts w:hint="eastAsia" w:hAnsi="宋体"/>
                <w:b/>
                <w:szCs w:val="21"/>
              </w:rPr>
              <w:t>和</w:t>
            </w:r>
            <w:r>
              <w:rPr>
                <w:rFonts w:hint="eastAsia" w:hAnsi="宋体"/>
                <w:b/>
                <w:color w:val="FF0000"/>
                <w:szCs w:val="21"/>
              </w:rPr>
              <w:t>技术标文件</w:t>
            </w:r>
            <w:r>
              <w:rPr>
                <w:rFonts w:hint="eastAsia" w:hAnsi="宋体"/>
                <w:b/>
                <w:szCs w:val="21"/>
              </w:rPr>
              <w:t>。依照招标文件规范：资格标文件、商务标文件和技术标文件需分别</w:t>
            </w:r>
            <w:r>
              <w:rPr>
                <w:rFonts w:hint="eastAsia" w:hAnsi="宋体"/>
                <w:b/>
                <w:szCs w:val="21"/>
                <w:u w:val="single"/>
              </w:rPr>
              <w:t>单独装订成书（不允许用活页夹子）</w:t>
            </w:r>
            <w:r>
              <w:rPr>
                <w:rFonts w:hint="eastAsia" w:hAnsi="宋体"/>
                <w:b/>
                <w:szCs w:val="21"/>
              </w:rPr>
              <w:t>，其中商务标文件需单独密封再一并邮寄。要严格按照招标文件规范执行。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8</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投标文件递交方式</w:t>
            </w:r>
          </w:p>
        </w:tc>
        <w:tc>
          <w:tcPr>
            <w:tcW w:w="5522" w:type="dxa"/>
            <w:vAlign w:val="bottom"/>
          </w:tcPr>
          <w:p>
            <w:pPr>
              <w:pStyle w:val="12"/>
              <w:overflowPunct w:val="0"/>
              <w:spacing w:line="340" w:lineRule="exact"/>
              <w:rPr>
                <w:sz w:val="21"/>
                <w:szCs w:val="21"/>
              </w:rPr>
            </w:pPr>
            <w:r>
              <w:rPr>
                <w:sz w:val="21"/>
                <w:szCs w:val="21"/>
              </w:rPr>
              <w:t>投标文件</w:t>
            </w:r>
            <w:r>
              <w:rPr>
                <w:rFonts w:hint="eastAsia"/>
                <w:sz w:val="21"/>
                <w:szCs w:val="21"/>
              </w:rPr>
              <w:t>共一正三副，</w:t>
            </w:r>
            <w:r>
              <w:rPr>
                <w:sz w:val="21"/>
                <w:szCs w:val="21"/>
              </w:rPr>
              <w:t>投标文件</w:t>
            </w:r>
            <w:r>
              <w:rPr>
                <w:rFonts w:hint="eastAsia"/>
                <w:sz w:val="21"/>
                <w:szCs w:val="21"/>
              </w:rPr>
              <w:t>依照招标文件规范进行密封后，在投标截止时间之前专人提交或特快专递提交招标人。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9</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投标费用</w:t>
            </w:r>
          </w:p>
        </w:tc>
        <w:tc>
          <w:tcPr>
            <w:tcW w:w="5522" w:type="dxa"/>
            <w:vAlign w:val="bottom"/>
          </w:tcPr>
          <w:p>
            <w:pPr>
              <w:pStyle w:val="12"/>
              <w:overflowPunct w:val="0"/>
              <w:spacing w:line="340" w:lineRule="exact"/>
              <w:rPr>
                <w:bCs/>
                <w:color w:val="FF0000"/>
                <w:sz w:val="21"/>
                <w:szCs w:val="21"/>
              </w:rPr>
            </w:pPr>
            <w:r>
              <w:rPr>
                <w:bCs/>
                <w:color w:val="FF0000"/>
                <w:sz w:val="21"/>
                <w:szCs w:val="21"/>
              </w:rPr>
              <w:t>投标保证金为人民币</w:t>
            </w:r>
            <w:r>
              <w:rPr>
                <w:rFonts w:hint="eastAsia"/>
                <w:bCs/>
                <w:color w:val="FF0000"/>
                <w:sz w:val="21"/>
                <w:szCs w:val="21"/>
              </w:rPr>
              <w:t>伍万</w:t>
            </w:r>
            <w:r>
              <w:rPr>
                <w:bCs/>
                <w:color w:val="FF0000"/>
                <w:sz w:val="21"/>
                <w:szCs w:val="21"/>
              </w:rPr>
              <w:t>元整</w:t>
            </w:r>
          </w:p>
          <w:p>
            <w:pPr>
              <w:overflowPunct w:val="0"/>
              <w:spacing w:line="340" w:lineRule="exact"/>
              <w:rPr>
                <w:rFonts w:hint="eastAsia" w:ascii="宋体" w:hAnsi="宋体"/>
                <w:bCs/>
                <w:szCs w:val="21"/>
              </w:rPr>
            </w:pPr>
            <w:r>
              <w:rPr>
                <w:rFonts w:hint="eastAsia" w:ascii="宋体" w:hAnsi="宋体"/>
                <w:bCs/>
                <w:szCs w:val="21"/>
              </w:rPr>
              <w:t>上述款项缴纳方式：电汇交纳（1.汇款单位请与投标单位名称一致，不接受现金；</w:t>
            </w:r>
          </w:p>
          <w:p>
            <w:pPr>
              <w:overflowPunct w:val="0"/>
              <w:spacing w:line="340" w:lineRule="exact"/>
              <w:rPr>
                <w:rFonts w:ascii="宋体" w:hAnsi="宋体"/>
                <w:bCs/>
                <w:szCs w:val="21"/>
              </w:rPr>
            </w:pPr>
            <w:r>
              <w:rPr>
                <w:rFonts w:hint="eastAsia" w:ascii="宋体" w:hAnsi="宋体"/>
                <w:bCs/>
                <w:szCs w:val="21"/>
              </w:rPr>
              <w:t>2.已有供货的投标人请出示财务证明：即贵公司同意从我公司应付账款中扣除伍万元作为本次投标的保证金，并加盖贵公司财务公章，凭证明，具有投标资格）</w:t>
            </w:r>
          </w:p>
          <w:p>
            <w:pPr>
              <w:overflowPunct w:val="0"/>
              <w:spacing w:line="340" w:lineRule="exact"/>
              <w:rPr>
                <w:rFonts w:hAnsi="宋体"/>
                <w:bCs/>
                <w:szCs w:val="21"/>
              </w:rPr>
            </w:pPr>
            <w:r>
              <w:rPr>
                <w:rFonts w:hint="eastAsia" w:ascii="宋体" w:hAnsi="宋体"/>
                <w:bCs/>
                <w:szCs w:val="21"/>
              </w:rPr>
              <w:t>上述款项缴</w:t>
            </w:r>
            <w:r>
              <w:rPr>
                <w:rFonts w:ascii="宋体" w:hAnsi="宋体"/>
                <w:bCs/>
                <w:szCs w:val="21"/>
              </w:rPr>
              <w:t>纳</w:t>
            </w:r>
            <w:r>
              <w:rPr>
                <w:rFonts w:hint="eastAsia" w:ascii="宋体" w:hAnsi="宋体"/>
                <w:bCs/>
                <w:szCs w:val="21"/>
              </w:rPr>
              <w:t>账号</w:t>
            </w:r>
            <w:r>
              <w:rPr>
                <w:rFonts w:ascii="宋体" w:hAnsi="宋体"/>
                <w:bCs/>
                <w:szCs w:val="21"/>
              </w:rPr>
              <w:t>：</w:t>
            </w:r>
            <w:r>
              <w:rPr>
                <w:rFonts w:hint="eastAsia" w:ascii="宋体" w:hAnsi="宋体"/>
                <w:bCs/>
                <w:spacing w:val="4"/>
                <w:szCs w:val="21"/>
              </w:rPr>
              <w:t xml:space="preserve"> 0200048909200013866（开户行：工行昌平支行营业部）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10</w:t>
            </w:r>
          </w:p>
        </w:tc>
        <w:tc>
          <w:tcPr>
            <w:tcW w:w="2303" w:type="dxa"/>
            <w:vAlign w:val="center"/>
          </w:tcPr>
          <w:p>
            <w:pPr>
              <w:overflowPunct w:val="0"/>
              <w:spacing w:line="340" w:lineRule="exact"/>
              <w:jc w:val="center"/>
              <w:rPr>
                <w:rFonts w:ascii="宋体" w:hAnsi="宋体"/>
                <w:bCs/>
                <w:szCs w:val="21"/>
                <w:highlight w:val="yellow"/>
              </w:rPr>
            </w:pPr>
            <w:r>
              <w:rPr>
                <w:rFonts w:hint="eastAsia" w:ascii="宋体" w:hAnsi="宋体"/>
                <w:bCs/>
                <w:szCs w:val="21"/>
                <w:highlight w:val="yellow"/>
              </w:rPr>
              <w:t>截标日期</w:t>
            </w:r>
          </w:p>
        </w:tc>
        <w:tc>
          <w:tcPr>
            <w:tcW w:w="5522" w:type="dxa"/>
            <w:vAlign w:val="bottom"/>
          </w:tcPr>
          <w:p>
            <w:pPr>
              <w:overflowPunct w:val="0"/>
              <w:spacing w:line="720" w:lineRule="auto"/>
              <w:jc w:val="left"/>
              <w:rPr>
                <w:rFonts w:ascii="宋体" w:hAnsi="宋体"/>
                <w:bCs/>
                <w:szCs w:val="21"/>
                <w:highlight w:val="yellow"/>
              </w:rPr>
            </w:pPr>
            <w:r>
              <w:rPr>
                <w:rFonts w:hint="eastAsia" w:ascii="宋体" w:hAnsi="宋体"/>
                <w:bCs/>
                <w:szCs w:val="21"/>
                <w:highlight w:val="yellow"/>
              </w:rPr>
              <w:t>2020年1</w:t>
            </w:r>
            <w:r>
              <w:rPr>
                <w:rFonts w:hint="eastAsia" w:ascii="宋体" w:hAnsi="宋体"/>
                <w:bCs/>
                <w:szCs w:val="21"/>
                <w:highlight w:val="yellow"/>
                <w:lang w:val="en-US" w:eastAsia="zh-CN"/>
              </w:rPr>
              <w:t>1</w:t>
            </w:r>
            <w:r>
              <w:rPr>
                <w:rFonts w:hint="eastAsia" w:ascii="宋体" w:hAnsi="宋体"/>
                <w:bCs/>
                <w:szCs w:val="21"/>
                <w:highlight w:val="yellow"/>
              </w:rPr>
              <w:t>月</w:t>
            </w:r>
            <w:r>
              <w:rPr>
                <w:rFonts w:hint="eastAsia" w:ascii="宋体" w:hAnsi="宋体"/>
                <w:bCs/>
                <w:szCs w:val="21"/>
                <w:highlight w:val="yellow"/>
                <w:lang w:val="en-US" w:eastAsia="zh-CN"/>
              </w:rPr>
              <w:t>27</w:t>
            </w:r>
            <w:r>
              <w:rPr>
                <w:rFonts w:hint="eastAsia" w:ascii="宋体" w:hAnsi="宋体"/>
                <w:bCs/>
                <w:szCs w:val="21"/>
                <w:highlight w:val="yellow"/>
              </w:rPr>
              <w:t>日</w:t>
            </w:r>
            <w:bookmarkStart w:id="68" w:name="_GoBack"/>
            <w:bookmarkEnd w:id="6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11</w:t>
            </w:r>
          </w:p>
        </w:tc>
        <w:tc>
          <w:tcPr>
            <w:tcW w:w="2303" w:type="dxa"/>
            <w:vAlign w:val="center"/>
          </w:tcPr>
          <w:p>
            <w:pPr>
              <w:overflowPunct w:val="0"/>
              <w:spacing w:line="340" w:lineRule="exact"/>
              <w:jc w:val="center"/>
              <w:rPr>
                <w:rFonts w:ascii="宋体" w:hAnsi="宋体"/>
                <w:bCs/>
                <w:szCs w:val="21"/>
                <w:highlight w:val="yellow"/>
              </w:rPr>
            </w:pPr>
            <w:r>
              <w:rPr>
                <w:rFonts w:hint="eastAsia" w:ascii="宋体" w:hAnsi="宋体"/>
                <w:bCs/>
                <w:szCs w:val="21"/>
                <w:highlight w:val="yellow"/>
              </w:rPr>
              <w:t>开标日期</w:t>
            </w:r>
          </w:p>
        </w:tc>
        <w:tc>
          <w:tcPr>
            <w:tcW w:w="5522" w:type="dxa"/>
            <w:vAlign w:val="center"/>
          </w:tcPr>
          <w:p>
            <w:pPr>
              <w:overflowPunct w:val="0"/>
              <w:rPr>
                <w:rFonts w:ascii="宋体" w:hAnsi="宋体"/>
                <w:bCs/>
                <w:szCs w:val="21"/>
                <w:highlight w:val="yellow"/>
              </w:rPr>
            </w:pPr>
            <w:r>
              <w:rPr>
                <w:rFonts w:hint="eastAsia" w:ascii="宋体" w:hAnsi="宋体"/>
                <w:bCs/>
                <w:szCs w:val="21"/>
                <w:highlight w:val="yellow"/>
              </w:rPr>
              <w:t>2020年</w:t>
            </w:r>
            <w:r>
              <w:rPr>
                <w:rFonts w:hint="eastAsia" w:ascii="宋体" w:hAnsi="宋体"/>
                <w:bCs/>
                <w:szCs w:val="21"/>
                <w:highlight w:val="yellow"/>
                <w:lang w:val="en-US" w:eastAsia="zh-CN"/>
              </w:rPr>
              <w:t>11</w:t>
            </w:r>
            <w:r>
              <w:rPr>
                <w:rFonts w:hint="eastAsia" w:ascii="宋体" w:hAnsi="宋体"/>
                <w:bCs/>
                <w:szCs w:val="21"/>
                <w:highlight w:val="yellow"/>
              </w:rPr>
              <w:t>月</w:t>
            </w:r>
            <w:r>
              <w:rPr>
                <w:rFonts w:hint="eastAsia" w:ascii="宋体" w:hAnsi="宋体"/>
                <w:bCs/>
                <w:szCs w:val="21"/>
                <w:highlight w:val="yellow"/>
                <w:lang w:val="en-US" w:eastAsia="zh-CN"/>
              </w:rPr>
              <w:t>27</w:t>
            </w:r>
            <w:r>
              <w:rPr>
                <w:rFonts w:hint="eastAsia" w:ascii="宋体" w:hAnsi="宋体"/>
                <w:bCs/>
                <w:szCs w:val="21"/>
                <w:highlight w:val="yellow"/>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left"/>
              <w:rPr>
                <w:rFonts w:ascii="宋体" w:hAnsi="宋体"/>
                <w:bCs/>
                <w:szCs w:val="21"/>
              </w:rPr>
            </w:pPr>
            <w:r>
              <w:rPr>
                <w:rFonts w:hint="eastAsia" w:ascii="宋体" w:hAnsi="宋体"/>
                <w:bCs/>
                <w:szCs w:val="21"/>
              </w:rPr>
              <w:t>12</w:t>
            </w:r>
          </w:p>
        </w:tc>
        <w:tc>
          <w:tcPr>
            <w:tcW w:w="2303" w:type="dxa"/>
            <w:vAlign w:val="center"/>
          </w:tcPr>
          <w:p>
            <w:pPr>
              <w:jc w:val="left"/>
            </w:pPr>
            <w:r>
              <w:rPr>
                <w:rFonts w:hint="eastAsia"/>
              </w:rPr>
              <w:t>说明</w:t>
            </w:r>
          </w:p>
        </w:tc>
        <w:tc>
          <w:tcPr>
            <w:tcW w:w="5522" w:type="dxa"/>
            <w:vAlign w:val="top"/>
          </w:tcPr>
          <w:p>
            <w:pPr>
              <w:jc w:val="left"/>
              <w:rPr>
                <w:rFonts w:ascii="宋体" w:hAnsi="宋体" w:cs="宋体"/>
                <w:bCs/>
                <w:kern w:val="0"/>
                <w:szCs w:val="21"/>
              </w:rPr>
            </w:pPr>
            <w:r>
              <w:rPr>
                <w:rFonts w:hint="eastAsia" w:ascii="宋体" w:hAnsi="宋体" w:cs="宋体"/>
                <w:bCs/>
                <w:kern w:val="0"/>
                <w:szCs w:val="21"/>
              </w:rPr>
              <w:t>1、以下参数中打*的为关键条款，任意一条偏离将导致废标。</w:t>
            </w:r>
          </w:p>
          <w:p>
            <w:pPr>
              <w:pStyle w:val="32"/>
              <w:numPr>
                <w:ilvl w:val="0"/>
                <w:numId w:val="0"/>
              </w:numPr>
              <w:spacing w:before="383" w:afterLines="30" w:line="440" w:lineRule="exact"/>
              <w:jc w:val="left"/>
              <w:rPr>
                <w:rFonts w:ascii="宋体" w:hAnsi="宋体" w:eastAsia="宋体" w:cs="宋体"/>
                <w:b/>
                <w:szCs w:val="21"/>
              </w:rPr>
            </w:pPr>
            <w:r>
              <w:rPr>
                <w:rFonts w:hint="eastAsia" w:ascii="宋体" w:hAnsi="宋体" w:eastAsia="宋体" w:cs="宋体"/>
                <w:b/>
                <w:szCs w:val="21"/>
              </w:rPr>
              <w:t>2、无论是偏离还是响应，投标方都应在《合同条款偏离表》及《技术规格偏离表》中逐项逐条填写对本条款要求的响应或偏离情况，填写顺序与相应条款顺序号应保持一致，否则将导致废标。</w:t>
            </w:r>
          </w:p>
          <w:p>
            <w:pPr>
              <w:pStyle w:val="32"/>
              <w:numPr>
                <w:ilvl w:val="0"/>
                <w:numId w:val="0"/>
              </w:numPr>
              <w:spacing w:before="383" w:afterLines="30" w:line="440" w:lineRule="exact"/>
              <w:jc w:val="left"/>
              <w:rPr>
                <w:rFonts w:ascii="宋体" w:hAnsi="宋体"/>
                <w:bCs/>
                <w:szCs w:val="21"/>
              </w:rPr>
            </w:pPr>
            <w:r>
              <w:rPr>
                <w:rFonts w:hint="eastAsia" w:ascii="宋体" w:hAnsi="宋体" w:eastAsia="宋体" w:cs="宋体"/>
                <w:b/>
                <w:szCs w:val="21"/>
              </w:rPr>
              <w:t>3.允许拆标进行单独型号投标</w:t>
            </w:r>
            <w:r>
              <w:rPr>
                <w:rFonts w:hint="eastAsia" w:ascii="宋体" w:hAnsi="宋体" w:eastAsia="宋体" w:cs="宋体"/>
                <w:bCs/>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left"/>
              <w:rPr>
                <w:rFonts w:ascii="宋体" w:hAnsi="宋体"/>
                <w:bCs/>
                <w:szCs w:val="21"/>
              </w:rPr>
            </w:pPr>
            <w:r>
              <w:rPr>
                <w:rFonts w:hint="eastAsia" w:ascii="宋体" w:hAnsi="宋体"/>
                <w:bCs/>
                <w:szCs w:val="21"/>
              </w:rPr>
              <w:t>13</w:t>
            </w:r>
          </w:p>
        </w:tc>
        <w:tc>
          <w:tcPr>
            <w:tcW w:w="2303" w:type="dxa"/>
            <w:vAlign w:val="center"/>
          </w:tcPr>
          <w:p>
            <w:pPr>
              <w:overflowPunct w:val="0"/>
              <w:spacing w:line="340" w:lineRule="exact"/>
              <w:jc w:val="left"/>
              <w:rPr>
                <w:rFonts w:ascii="宋体" w:hAnsi="宋体"/>
                <w:bCs/>
                <w:szCs w:val="21"/>
              </w:rPr>
            </w:pPr>
            <w:r>
              <w:rPr>
                <w:rFonts w:hint="eastAsia" w:ascii="宋体" w:hAnsi="宋体" w:cs="宋体"/>
                <w:bCs/>
                <w:kern w:val="0"/>
                <w:szCs w:val="21"/>
              </w:rPr>
              <w:t>招标监督信息</w:t>
            </w:r>
          </w:p>
        </w:tc>
        <w:tc>
          <w:tcPr>
            <w:tcW w:w="5522" w:type="dxa"/>
            <w:vAlign w:val="top"/>
          </w:tcPr>
          <w:p>
            <w:pPr>
              <w:pStyle w:val="32"/>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监督部门：荣盛盟固利监察审计部</w:t>
            </w:r>
          </w:p>
          <w:p>
            <w:pPr>
              <w:pStyle w:val="32"/>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监督电话：13522897660  010-89788170（专线）</w:t>
            </w:r>
          </w:p>
          <w:p>
            <w:pPr>
              <w:pStyle w:val="32"/>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监督邮箱：</w:t>
            </w:r>
            <w:r>
              <w:fldChar w:fldCharType="begin"/>
            </w:r>
            <w:r>
              <w:instrText xml:space="preserve">HYPERLINK "mailto:jcsjb@mgldl.com.cn" </w:instrText>
            </w:r>
            <w:r>
              <w:fldChar w:fldCharType="separate"/>
            </w:r>
            <w:r>
              <w:rPr>
                <w:rFonts w:hint="eastAsia" w:ascii="宋体" w:hAnsi="宋体" w:eastAsia="宋体" w:cs="宋体"/>
                <w:szCs w:val="21"/>
              </w:rPr>
              <w:t>jcsjb@mgldl.com.cn</w:t>
            </w:r>
            <w:r>
              <w:fldChar w:fldCharType="end"/>
            </w:r>
            <w:r>
              <w:rPr>
                <w:rFonts w:hint="eastAsia" w:ascii="宋体" w:hAnsi="宋体" w:eastAsia="宋体" w:cs="宋体"/>
                <w:szCs w:val="21"/>
              </w:rPr>
              <w:t xml:space="preserve">   监督QQ：3397311883</w:t>
            </w:r>
          </w:p>
          <w:p>
            <w:pPr>
              <w:pStyle w:val="32"/>
              <w:numPr>
                <w:ilvl w:val="0"/>
                <w:numId w:val="0"/>
              </w:numPr>
              <w:spacing w:before="383" w:afterLines="30"/>
              <w:jc w:val="left"/>
              <w:rPr>
                <w:rFonts w:ascii="宋体" w:hAnsi="宋体"/>
                <w:szCs w:val="21"/>
              </w:rPr>
            </w:pPr>
            <w:r>
              <w:rPr>
                <w:rFonts w:hint="eastAsia" w:ascii="宋体" w:hAnsi="宋体" w:eastAsia="宋体" w:cs="宋体"/>
                <w:szCs w:val="21"/>
              </w:rPr>
              <w:t xml:space="preserve">监督微信：13522897660 </w:t>
            </w:r>
          </w:p>
        </w:tc>
      </w:tr>
    </w:tbl>
    <w:p>
      <w:pPr>
        <w:pStyle w:val="29"/>
        <w:numPr>
          <w:ilvl w:val="0"/>
          <w:numId w:val="2"/>
        </w:numPr>
        <w:overflowPunct w:val="0"/>
        <w:spacing w:line="360" w:lineRule="auto"/>
        <w:ind w:firstLineChars="0"/>
        <w:jc w:val="center"/>
        <w:outlineLvl w:val="0"/>
        <w:rPr>
          <w:rStyle w:val="36"/>
          <w:sz w:val="28"/>
          <w:szCs w:val="28"/>
        </w:rPr>
      </w:pPr>
      <w:r>
        <w:rPr>
          <w:rFonts w:hint="eastAsia"/>
        </w:rPr>
        <w:br w:type="page"/>
      </w:r>
      <w:bookmarkStart w:id="4" w:name="_Toc509411471"/>
      <w:bookmarkStart w:id="5" w:name="_Toc508467346"/>
      <w:bookmarkStart w:id="6" w:name="_Toc19073"/>
      <w:bookmarkStart w:id="7" w:name="_Toc7456"/>
      <w:bookmarkStart w:id="8" w:name="_Toc509413673"/>
      <w:bookmarkStart w:id="9" w:name="_Toc509411551"/>
      <w:bookmarkStart w:id="10" w:name="_Toc509413674"/>
      <w:bookmarkStart w:id="11" w:name="_Toc509411472"/>
      <w:bookmarkStart w:id="12" w:name="_Toc509411552"/>
      <w:r>
        <w:rPr>
          <w:rStyle w:val="36"/>
          <w:rFonts w:hint="eastAsia"/>
          <w:sz w:val="28"/>
          <w:szCs w:val="28"/>
        </w:rPr>
        <w:t>投标须知</w:t>
      </w:r>
      <w:bookmarkEnd w:id="4"/>
      <w:bookmarkEnd w:id="5"/>
      <w:bookmarkEnd w:id="6"/>
      <w:bookmarkEnd w:id="7"/>
      <w:bookmarkEnd w:id="8"/>
      <w:bookmarkEnd w:id="9"/>
    </w:p>
    <w:p>
      <w:pPr>
        <w:overflowPunct w:val="0"/>
        <w:spacing w:line="360" w:lineRule="auto"/>
        <w:outlineLvl w:val="0"/>
        <w:rPr>
          <w:rStyle w:val="36"/>
          <w:sz w:val="28"/>
          <w:szCs w:val="28"/>
        </w:rPr>
      </w:pPr>
    </w:p>
    <w:p>
      <w:pPr>
        <w:rPr>
          <w:rFonts w:ascii="宋体" w:hAnsi="宋体" w:cs="宋体"/>
          <w:b/>
          <w:sz w:val="24"/>
        </w:rPr>
      </w:pPr>
      <w:r>
        <w:rPr>
          <w:rFonts w:hint="eastAsia" w:ascii="宋体" w:hAnsi="宋体" w:cs="宋体"/>
          <w:b/>
          <w:sz w:val="24"/>
        </w:rPr>
        <w:t>A 总则</w:t>
      </w:r>
    </w:p>
    <w:p>
      <w:pPr>
        <w:rPr>
          <w:rFonts w:ascii="宋体" w:hAnsi="宋体" w:cs="宋体"/>
          <w:b/>
          <w:sz w:val="24"/>
        </w:rPr>
      </w:pPr>
      <w:bookmarkStart w:id="13" w:name="_Toc8039"/>
      <w:r>
        <w:rPr>
          <w:rFonts w:hint="eastAsia" w:ascii="宋体" w:hAnsi="宋体" w:cs="宋体"/>
          <w:b/>
          <w:sz w:val="24"/>
        </w:rPr>
        <w:t>1. 说明</w:t>
      </w:r>
      <w:bookmarkEnd w:id="13"/>
    </w:p>
    <w:p>
      <w:pPr>
        <w:rPr>
          <w:rFonts w:ascii="宋体" w:hAnsi="宋体" w:cs="宋体"/>
          <w:sz w:val="24"/>
        </w:rPr>
      </w:pPr>
      <w:r>
        <w:rPr>
          <w:rFonts w:hint="eastAsia" w:ascii="宋体" w:hAnsi="宋体" w:cs="宋体"/>
          <w:sz w:val="24"/>
        </w:rPr>
        <w:t>1.1.本招标文件仅适用于</w:t>
      </w:r>
      <w:r>
        <w:rPr>
          <w:rFonts w:hint="eastAsia" w:ascii="宋体" w:hAnsi="宋体"/>
          <w:bCs/>
          <w:szCs w:val="21"/>
        </w:rPr>
        <w:t>2020年1</w:t>
      </w:r>
      <w:r>
        <w:rPr>
          <w:rFonts w:hint="eastAsia" w:ascii="宋体" w:hAnsi="宋体"/>
          <w:bCs/>
          <w:szCs w:val="21"/>
          <w:lang w:val="en-US" w:eastAsia="zh-CN"/>
        </w:rPr>
        <w:t>1</w:t>
      </w:r>
      <w:r>
        <w:rPr>
          <w:rFonts w:hint="eastAsia" w:ascii="宋体" w:hAnsi="宋体"/>
          <w:bCs/>
          <w:szCs w:val="21"/>
        </w:rPr>
        <w:t>月-2021年12月</w:t>
      </w:r>
      <w:r>
        <w:rPr>
          <w:rFonts w:hint="eastAsia" w:ascii="宋体" w:hAnsi="宋体" w:cs="宋体"/>
          <w:sz w:val="24"/>
        </w:rPr>
        <w:t>对应标的物的采购活动。</w:t>
      </w:r>
    </w:p>
    <w:p>
      <w:pPr>
        <w:rPr>
          <w:rFonts w:ascii="宋体" w:hAnsi="宋体" w:cs="宋体"/>
          <w:sz w:val="24"/>
        </w:rPr>
      </w:pPr>
      <w:r>
        <w:rPr>
          <w:rFonts w:hint="eastAsia" w:ascii="宋体" w:hAnsi="宋体" w:cs="宋体"/>
          <w:sz w:val="24"/>
        </w:rPr>
        <w:t>1.2.本次招标采购活动及因本次招标采购产生的合同受中国法律制约和保护。</w:t>
      </w:r>
    </w:p>
    <w:p>
      <w:pPr>
        <w:rPr>
          <w:rFonts w:ascii="宋体" w:hAnsi="宋体" w:cs="宋体"/>
          <w:sz w:val="24"/>
        </w:rPr>
      </w:pPr>
      <w:r>
        <w:rPr>
          <w:rFonts w:hint="eastAsia" w:ascii="宋体" w:hAnsi="宋体" w:cs="宋体"/>
          <w:sz w:val="24"/>
        </w:rPr>
        <w:t xml:space="preserve">1.3.本次招标文件的解释权属于招标人。                                             </w:t>
      </w:r>
    </w:p>
    <w:p>
      <w:pPr>
        <w:rPr>
          <w:rFonts w:ascii="宋体" w:hAnsi="宋体" w:cs="宋体"/>
          <w:b/>
          <w:sz w:val="24"/>
        </w:rPr>
      </w:pPr>
      <w:bookmarkStart w:id="14" w:name="_Toc29031"/>
      <w:bookmarkStart w:id="15" w:name="_Toc3393"/>
      <w:r>
        <w:rPr>
          <w:rFonts w:hint="eastAsia" w:ascii="宋体" w:hAnsi="宋体" w:cs="宋体"/>
          <w:b/>
          <w:sz w:val="24"/>
        </w:rPr>
        <w:t>2. 词语释义</w:t>
      </w:r>
      <w:bookmarkEnd w:id="14"/>
      <w:bookmarkEnd w:id="15"/>
    </w:p>
    <w:p>
      <w:pPr>
        <w:rPr>
          <w:rFonts w:ascii="宋体" w:hAnsi="宋体" w:cs="宋体"/>
          <w:sz w:val="24"/>
        </w:rPr>
      </w:pPr>
      <w:r>
        <w:rPr>
          <w:rFonts w:hint="eastAsia" w:ascii="宋体" w:hAnsi="宋体" w:cs="宋体"/>
          <w:sz w:val="24"/>
        </w:rPr>
        <w:t>2.1.招标人：具体实施采购活动的法人或社会团体。</w:t>
      </w:r>
    </w:p>
    <w:p>
      <w:pPr>
        <w:rPr>
          <w:rFonts w:ascii="宋体" w:hAnsi="宋体" w:cs="宋体"/>
          <w:sz w:val="24"/>
        </w:rPr>
      </w:pPr>
      <w:r>
        <w:rPr>
          <w:rFonts w:hint="eastAsia" w:ascii="宋体" w:hAnsi="宋体" w:cs="宋体"/>
          <w:sz w:val="24"/>
        </w:rPr>
        <w:t>2.2.投标人：经认定有资格响应招标，参加招标的法人或其他组织和自然人。</w:t>
      </w:r>
    </w:p>
    <w:p>
      <w:pPr>
        <w:rPr>
          <w:rFonts w:ascii="宋体" w:hAnsi="宋体" w:cs="宋体"/>
          <w:sz w:val="24"/>
        </w:rPr>
      </w:pPr>
      <w:r>
        <w:rPr>
          <w:rFonts w:hint="eastAsia" w:ascii="宋体" w:hAnsi="宋体" w:cs="宋体"/>
          <w:sz w:val="24"/>
        </w:rPr>
        <w:t>2.3. 中标人：其投标能最大限度地满足招标文件中规定的各项标准，并能圆满地履行合同的，并收到《中标通知书》的投标人。</w:t>
      </w:r>
    </w:p>
    <w:p>
      <w:pPr>
        <w:rPr>
          <w:rFonts w:ascii="宋体" w:hAnsi="宋体" w:cs="宋体"/>
          <w:sz w:val="24"/>
        </w:rPr>
      </w:pPr>
      <w:r>
        <w:rPr>
          <w:rFonts w:hint="eastAsia" w:ascii="宋体" w:hAnsi="宋体" w:cs="宋体"/>
          <w:sz w:val="24"/>
        </w:rPr>
        <w:t>2.4.货物：系指投标人按招标文件及投标文件规定，应向招标人提供的一切物料、手册及其它有关技术资料和材料。</w:t>
      </w:r>
    </w:p>
    <w:p>
      <w:pPr>
        <w:rPr>
          <w:rFonts w:ascii="宋体" w:hAnsi="宋体" w:cs="宋体"/>
          <w:sz w:val="24"/>
        </w:rPr>
      </w:pPr>
      <w:r>
        <w:rPr>
          <w:rFonts w:hint="eastAsia" w:ascii="宋体" w:hAnsi="宋体" w:cs="宋体"/>
          <w:sz w:val="24"/>
        </w:rPr>
        <w:t>2.5.服务：系指本次招标文件及投标文件规定投标人应承担的与提供货物和服务有关的辅助服务，比如运输、保险、提供技术援助、培训、配合措施、售后响应及合同中规定招标人应承担的其它义务。</w:t>
      </w:r>
    </w:p>
    <w:p>
      <w:pPr>
        <w:rPr>
          <w:rFonts w:ascii="宋体" w:hAnsi="宋体" w:cs="宋体"/>
          <w:sz w:val="24"/>
        </w:rPr>
      </w:pPr>
    </w:p>
    <w:p>
      <w:pPr>
        <w:rPr>
          <w:rFonts w:ascii="宋体" w:hAnsi="宋体" w:cs="宋体"/>
          <w:b/>
          <w:sz w:val="24"/>
        </w:rPr>
      </w:pPr>
      <w:bookmarkStart w:id="16" w:name="_Toc12828"/>
      <w:bookmarkStart w:id="17" w:name="_Toc30720"/>
      <w:r>
        <w:rPr>
          <w:rFonts w:hint="eastAsia" w:ascii="宋体" w:hAnsi="宋体" w:cs="宋体"/>
          <w:b/>
          <w:sz w:val="24"/>
        </w:rPr>
        <w:t>B 投标人</w:t>
      </w:r>
      <w:bookmarkEnd w:id="16"/>
      <w:bookmarkEnd w:id="17"/>
    </w:p>
    <w:p>
      <w:pPr>
        <w:rPr>
          <w:rFonts w:ascii="宋体" w:hAnsi="宋体" w:cs="宋体"/>
          <w:b/>
          <w:sz w:val="24"/>
        </w:rPr>
      </w:pPr>
      <w:bookmarkStart w:id="18" w:name="_Toc27382"/>
      <w:bookmarkStart w:id="19" w:name="_Toc26778"/>
      <w:r>
        <w:rPr>
          <w:rFonts w:hint="eastAsia" w:ascii="宋体" w:hAnsi="宋体" w:cs="宋体"/>
          <w:b/>
          <w:sz w:val="24"/>
        </w:rPr>
        <w:t>3. 合格投标人的条件</w:t>
      </w:r>
      <w:bookmarkEnd w:id="18"/>
      <w:bookmarkEnd w:id="19"/>
    </w:p>
    <w:p>
      <w:pPr>
        <w:rPr>
          <w:rFonts w:ascii="宋体" w:hAnsi="宋体" w:cs="宋体"/>
          <w:sz w:val="24"/>
        </w:rPr>
      </w:pPr>
      <w:r>
        <w:rPr>
          <w:rFonts w:hint="eastAsia" w:ascii="宋体" w:hAnsi="宋体" w:cs="宋体"/>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中信国安盟固利动力科技有限公司的新供应商准入审核和产品验证，具体供应商审核和产品验证内容、时间、地点以招标方通知为准。</w:t>
      </w:r>
    </w:p>
    <w:p>
      <w:pPr>
        <w:rPr>
          <w:rFonts w:ascii="宋体" w:hAnsi="宋体" w:cs="宋体"/>
          <w:sz w:val="24"/>
        </w:rPr>
      </w:pPr>
      <w:r>
        <w:rPr>
          <w:rFonts w:hint="eastAsia" w:ascii="宋体" w:hAnsi="宋体" w:cs="宋体"/>
          <w:sz w:val="24"/>
        </w:rPr>
        <w:t>3.2.完全满足招标文件的实质性要求；</w:t>
      </w:r>
    </w:p>
    <w:p>
      <w:pPr>
        <w:rPr>
          <w:rFonts w:ascii="宋体" w:hAnsi="宋体" w:cs="宋体"/>
          <w:sz w:val="24"/>
        </w:rPr>
      </w:pPr>
      <w:r>
        <w:rPr>
          <w:rFonts w:hint="eastAsia" w:ascii="宋体" w:hAnsi="宋体" w:cs="宋体"/>
          <w:sz w:val="24"/>
        </w:rPr>
        <w:t>3.3.遵守有关的国家法律、法令和条例；</w:t>
      </w:r>
    </w:p>
    <w:p>
      <w:pPr>
        <w:rPr>
          <w:rFonts w:ascii="宋体" w:hAnsi="宋体" w:cs="宋体"/>
          <w:b/>
          <w:sz w:val="24"/>
        </w:rPr>
      </w:pPr>
      <w:bookmarkStart w:id="20" w:name="_Toc23308"/>
      <w:bookmarkStart w:id="21" w:name="_Toc29912"/>
      <w:r>
        <w:rPr>
          <w:rFonts w:hint="eastAsia" w:ascii="宋体" w:hAnsi="宋体" w:cs="宋体"/>
          <w:b/>
          <w:sz w:val="24"/>
        </w:rPr>
        <w:t>4. 投标人代表</w:t>
      </w:r>
      <w:bookmarkEnd w:id="20"/>
      <w:bookmarkEnd w:id="21"/>
    </w:p>
    <w:p>
      <w:pPr>
        <w:rPr>
          <w:rFonts w:ascii="宋体" w:hAnsi="宋体" w:cs="宋体"/>
          <w:sz w:val="24"/>
        </w:rPr>
      </w:pPr>
      <w:r>
        <w:rPr>
          <w:rFonts w:hint="eastAsia" w:ascii="宋体" w:hAnsi="宋体" w:cs="宋体"/>
          <w:sz w:val="24"/>
        </w:rPr>
        <w:t xml:space="preserve">指全权代表投标人参加投标活动并签署投标相关文件的人员。如果投标人代表不是法人代表，须持有《法人代表授权委托书》（附件2）。 </w:t>
      </w:r>
    </w:p>
    <w:p>
      <w:pPr>
        <w:rPr>
          <w:rFonts w:ascii="宋体" w:hAnsi="宋体" w:cs="宋体"/>
          <w:b/>
          <w:sz w:val="24"/>
        </w:rPr>
      </w:pPr>
      <w:bookmarkStart w:id="22" w:name="_Toc31186"/>
      <w:bookmarkStart w:id="23" w:name="_Toc681"/>
      <w:r>
        <w:rPr>
          <w:rFonts w:hint="eastAsia" w:ascii="宋体" w:hAnsi="宋体" w:cs="宋体"/>
          <w:b/>
          <w:sz w:val="24"/>
        </w:rPr>
        <w:t>5. 费用</w:t>
      </w:r>
      <w:bookmarkEnd w:id="22"/>
      <w:bookmarkEnd w:id="23"/>
      <w:r>
        <w:rPr>
          <w:rFonts w:hint="eastAsia" w:ascii="宋体" w:hAnsi="宋体" w:cs="宋体"/>
          <w:b/>
          <w:sz w:val="24"/>
        </w:rPr>
        <w:t xml:space="preserve"> </w:t>
      </w:r>
    </w:p>
    <w:p>
      <w:pPr>
        <w:rPr>
          <w:rFonts w:ascii="宋体" w:hAnsi="宋体" w:cs="宋体"/>
          <w:sz w:val="24"/>
        </w:rPr>
      </w:pPr>
      <w:r>
        <w:rPr>
          <w:rFonts w:hint="eastAsia" w:ascii="宋体" w:hAnsi="宋体" w:cs="宋体"/>
          <w:sz w:val="24"/>
        </w:rPr>
        <w:t>无论投标过程中的做法和结果如何，投标人自行承担所有与参加投标有关的全部费用。</w:t>
      </w:r>
    </w:p>
    <w:p>
      <w:pPr>
        <w:rPr>
          <w:rFonts w:ascii="宋体" w:hAnsi="宋体" w:cs="宋体"/>
          <w:sz w:val="24"/>
        </w:rPr>
      </w:pPr>
    </w:p>
    <w:p>
      <w:pPr>
        <w:rPr>
          <w:rFonts w:ascii="宋体" w:hAnsi="宋体" w:cs="宋体"/>
          <w:b/>
          <w:sz w:val="24"/>
        </w:rPr>
      </w:pPr>
      <w:bookmarkStart w:id="24" w:name="_Toc814"/>
      <w:bookmarkStart w:id="25" w:name="_Toc27626"/>
      <w:r>
        <w:rPr>
          <w:rFonts w:hint="eastAsia" w:ascii="宋体" w:hAnsi="宋体" w:cs="宋体"/>
          <w:b/>
          <w:sz w:val="24"/>
        </w:rPr>
        <w:t>C 招标文件说明</w:t>
      </w:r>
      <w:bookmarkEnd w:id="24"/>
      <w:bookmarkEnd w:id="25"/>
    </w:p>
    <w:p>
      <w:pPr>
        <w:rPr>
          <w:rFonts w:ascii="宋体" w:hAnsi="宋体" w:cs="宋体"/>
          <w:b/>
          <w:sz w:val="24"/>
        </w:rPr>
      </w:pPr>
      <w:bookmarkStart w:id="26" w:name="_Toc23984"/>
      <w:bookmarkStart w:id="27" w:name="_Toc14605"/>
      <w:r>
        <w:rPr>
          <w:rFonts w:hint="eastAsia" w:ascii="宋体" w:hAnsi="宋体" w:cs="宋体"/>
          <w:b/>
          <w:sz w:val="24"/>
        </w:rPr>
        <w:t>6. 招标文件</w:t>
      </w:r>
      <w:bookmarkEnd w:id="26"/>
      <w:bookmarkEnd w:id="27"/>
    </w:p>
    <w:p>
      <w:pPr>
        <w:rPr>
          <w:rFonts w:ascii="宋体" w:hAnsi="宋体" w:cs="宋体"/>
          <w:sz w:val="24"/>
        </w:rPr>
      </w:pPr>
      <w:r>
        <w:rPr>
          <w:rFonts w:hint="eastAsia" w:ascii="宋体" w:hAnsi="宋体" w:cs="宋体"/>
          <w:sz w:val="24"/>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 w:val="24"/>
        </w:rPr>
      </w:pPr>
      <w:bookmarkStart w:id="28" w:name="_Toc31584"/>
      <w:bookmarkStart w:id="29" w:name="_Toc27675"/>
      <w:r>
        <w:rPr>
          <w:rFonts w:hint="eastAsia" w:ascii="宋体" w:hAnsi="宋体" w:cs="宋体"/>
          <w:b/>
          <w:sz w:val="24"/>
        </w:rPr>
        <w:t>7. 对招标文件的澄清</w:t>
      </w:r>
      <w:bookmarkEnd w:id="28"/>
      <w:bookmarkEnd w:id="29"/>
    </w:p>
    <w:p>
      <w:pPr>
        <w:rPr>
          <w:rFonts w:ascii="宋体" w:hAnsi="宋体" w:cs="宋体"/>
          <w:sz w:val="24"/>
        </w:rPr>
      </w:pPr>
      <w:r>
        <w:rPr>
          <w:rFonts w:hint="eastAsia" w:ascii="宋体" w:hAnsi="宋体" w:cs="宋体"/>
          <w:sz w:val="24"/>
        </w:rPr>
        <w:t>投标人对招标文件如有疑问，可要求澄清，应在本招标文件规定的时间内，以规定方式通知招标人。招标人将视情况采用适当方式予以答复。</w:t>
      </w:r>
    </w:p>
    <w:p>
      <w:pPr>
        <w:rPr>
          <w:rFonts w:ascii="宋体" w:hAnsi="宋体" w:cs="宋体"/>
          <w:b/>
          <w:sz w:val="24"/>
        </w:rPr>
      </w:pPr>
      <w:bookmarkStart w:id="30" w:name="_Toc10722"/>
      <w:bookmarkStart w:id="31" w:name="_Toc8693"/>
      <w:r>
        <w:rPr>
          <w:rFonts w:hint="eastAsia" w:ascii="宋体" w:hAnsi="宋体" w:cs="宋体"/>
          <w:b/>
          <w:sz w:val="24"/>
        </w:rPr>
        <w:t>8. 招标文件的修改</w:t>
      </w:r>
      <w:bookmarkEnd w:id="30"/>
      <w:bookmarkEnd w:id="31"/>
    </w:p>
    <w:p>
      <w:pPr>
        <w:rPr>
          <w:rFonts w:ascii="宋体" w:hAnsi="宋体" w:cs="宋体"/>
          <w:sz w:val="24"/>
        </w:rPr>
      </w:pPr>
      <w:r>
        <w:rPr>
          <w:rFonts w:hint="eastAsia" w:ascii="宋体" w:hAnsi="宋体" w:cs="宋体"/>
          <w:sz w:val="24"/>
        </w:rPr>
        <w:t>8.1.在本招标文件规定的时间内，招标人无论出于自己的考虑，还是出于对投标人提问的澄清，均可对招标文件用变更通知的方式进行修改。</w:t>
      </w:r>
    </w:p>
    <w:p>
      <w:pPr>
        <w:rPr>
          <w:rFonts w:ascii="宋体" w:hAnsi="宋体" w:cs="宋体"/>
          <w:sz w:val="24"/>
        </w:rPr>
      </w:pPr>
      <w:r>
        <w:rPr>
          <w:rFonts w:hint="eastAsia" w:ascii="宋体" w:hAnsi="宋体" w:cs="宋体"/>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 w:val="24"/>
        </w:rPr>
      </w:pPr>
    </w:p>
    <w:p>
      <w:pPr>
        <w:rPr>
          <w:rFonts w:ascii="宋体" w:hAnsi="宋体" w:cs="宋体"/>
          <w:b/>
          <w:sz w:val="24"/>
        </w:rPr>
      </w:pPr>
      <w:bookmarkStart w:id="32" w:name="_Toc27720"/>
      <w:bookmarkStart w:id="33" w:name="_Toc9695"/>
      <w:r>
        <w:rPr>
          <w:rFonts w:hint="eastAsia" w:ascii="宋体" w:hAnsi="宋体" w:cs="宋体"/>
          <w:b/>
          <w:sz w:val="24"/>
        </w:rPr>
        <w:t>D投标文件说明</w:t>
      </w:r>
      <w:bookmarkEnd w:id="32"/>
      <w:bookmarkEnd w:id="33"/>
    </w:p>
    <w:p>
      <w:pPr>
        <w:rPr>
          <w:rFonts w:ascii="宋体" w:hAnsi="宋体" w:cs="宋体"/>
          <w:b/>
          <w:sz w:val="24"/>
        </w:rPr>
      </w:pPr>
      <w:r>
        <w:rPr>
          <w:rFonts w:hint="eastAsia" w:ascii="宋体" w:hAnsi="宋体" w:cs="宋体"/>
          <w:b/>
          <w:sz w:val="24"/>
        </w:rPr>
        <w:t>9．要求</w:t>
      </w:r>
    </w:p>
    <w:p>
      <w:pPr>
        <w:rPr>
          <w:rFonts w:ascii="宋体" w:hAnsi="宋体" w:cs="宋体"/>
          <w:sz w:val="24"/>
        </w:rPr>
      </w:pPr>
      <w:r>
        <w:rPr>
          <w:rFonts w:hint="eastAsia" w:ascii="宋体" w:hAnsi="宋体" w:cs="宋体"/>
          <w:sz w:val="24"/>
        </w:rPr>
        <w:t>投标人应仔细阅读招标文件的所有内容，按招标文件的要求制作投标文件，并保证所提供全部资料的真实性，否则其投标可能被拒绝。</w:t>
      </w:r>
    </w:p>
    <w:p>
      <w:pPr>
        <w:rPr>
          <w:rFonts w:ascii="宋体" w:hAnsi="宋体" w:cs="宋体"/>
          <w:b/>
          <w:sz w:val="24"/>
        </w:rPr>
      </w:pPr>
      <w:bookmarkStart w:id="34" w:name="_Toc23579"/>
      <w:bookmarkStart w:id="35" w:name="_Toc9100"/>
      <w:r>
        <w:rPr>
          <w:rFonts w:ascii="Arial" w:hAnsi="Arial" w:cs="Arial"/>
          <w:b/>
          <w:sz w:val="24"/>
        </w:rPr>
        <w:t>＊</w:t>
      </w:r>
      <w:r>
        <w:rPr>
          <w:rFonts w:hint="eastAsia" w:ascii="宋体" w:hAnsi="宋体" w:cs="宋体"/>
          <w:b/>
          <w:sz w:val="24"/>
        </w:rPr>
        <w:t>10. 投标文件计量单位和使用文字</w:t>
      </w:r>
      <w:bookmarkEnd w:id="34"/>
      <w:bookmarkEnd w:id="35"/>
    </w:p>
    <w:p>
      <w:pPr>
        <w:rPr>
          <w:rFonts w:ascii="宋体" w:hAnsi="宋体" w:cs="宋体"/>
          <w:sz w:val="24"/>
        </w:rPr>
      </w:pPr>
      <w:r>
        <w:rPr>
          <w:rFonts w:hint="eastAsia" w:ascii="宋体" w:hAnsi="宋体" w:cs="宋体"/>
          <w:sz w:val="24"/>
        </w:rPr>
        <w:t>10.1.投标人制作的投标文件所使用的计量单位，除招标文件中有特殊要求外，均应使用中华人民共和国法定计量单位。</w:t>
      </w:r>
    </w:p>
    <w:p>
      <w:pPr>
        <w:rPr>
          <w:rFonts w:ascii="宋体" w:hAnsi="宋体" w:cs="宋体"/>
          <w:sz w:val="24"/>
        </w:rPr>
      </w:pPr>
      <w:r>
        <w:rPr>
          <w:rFonts w:hint="eastAsia" w:ascii="宋体" w:hAnsi="宋体" w:cs="宋体"/>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b w:val="0"/>
          <w:bCs/>
          <w:sz w:val="24"/>
          <w:highlight w:val="red"/>
        </w:rPr>
      </w:pPr>
      <w:bookmarkStart w:id="36" w:name="_Toc32010"/>
      <w:bookmarkStart w:id="37" w:name="_Toc10482"/>
      <w:r>
        <w:rPr>
          <w:rFonts w:ascii="Arial" w:hAnsi="Arial" w:cs="Arial"/>
          <w:b w:val="0"/>
          <w:bCs/>
          <w:sz w:val="24"/>
          <w:highlight w:val="red"/>
        </w:rPr>
        <w:t>＊</w:t>
      </w:r>
      <w:r>
        <w:rPr>
          <w:rFonts w:hint="eastAsia" w:ascii="宋体" w:hAnsi="宋体" w:cs="宋体"/>
          <w:b w:val="0"/>
          <w:bCs/>
          <w:sz w:val="24"/>
          <w:highlight w:val="red"/>
        </w:rPr>
        <w:t>11. 投标文件的组成</w:t>
      </w:r>
      <w:bookmarkEnd w:id="36"/>
      <w:bookmarkEnd w:id="37"/>
      <w:r>
        <w:rPr>
          <w:rFonts w:hint="eastAsia" w:ascii="宋体" w:hAnsi="宋体" w:cs="宋体"/>
          <w:b w:val="0"/>
          <w:bCs/>
          <w:sz w:val="24"/>
          <w:highlight w:val="red"/>
        </w:rPr>
        <w:t>（以下文件均需加盖公章）</w:t>
      </w:r>
    </w:p>
    <w:p>
      <w:pPr>
        <w:rPr>
          <w:rFonts w:ascii="宋体" w:hAnsi="宋体" w:cs="宋体"/>
          <w:b w:val="0"/>
          <w:bCs/>
          <w:szCs w:val="21"/>
          <w:highlight w:val="red"/>
        </w:rPr>
      </w:pPr>
      <w:r>
        <w:rPr>
          <w:rFonts w:hint="eastAsia" w:ascii="宋体" w:hAnsi="宋体" w:cs="宋体"/>
          <w:b w:val="0"/>
          <w:bCs/>
          <w:szCs w:val="21"/>
          <w:highlight w:val="red"/>
        </w:rPr>
        <w:t>1.1. 投标文件由11.2、11.3和11.4款规定的内容共同组成</w:t>
      </w:r>
    </w:p>
    <w:p>
      <w:pPr>
        <w:rPr>
          <w:rFonts w:ascii="宋体" w:hAnsi="宋体" w:cs="宋体"/>
          <w:b w:val="0"/>
          <w:bCs/>
          <w:szCs w:val="21"/>
          <w:highlight w:val="red"/>
        </w:rPr>
      </w:pPr>
      <w:r>
        <w:rPr>
          <w:rFonts w:hint="eastAsia" w:ascii="宋体" w:hAnsi="宋体" w:cs="宋体"/>
          <w:b w:val="0"/>
          <w:bCs/>
          <w:szCs w:val="21"/>
          <w:highlight w:val="red"/>
        </w:rPr>
        <w:t>11.1.1.上述文件需分别装订包装（不接受不装钉的标书）</w:t>
      </w:r>
    </w:p>
    <w:p>
      <w:pPr>
        <w:rPr>
          <w:rFonts w:ascii="宋体" w:hAnsi="宋体" w:cs="宋体"/>
          <w:b w:val="0"/>
          <w:bCs/>
          <w:szCs w:val="21"/>
          <w:highlight w:val="red"/>
        </w:rPr>
      </w:pPr>
      <w:r>
        <w:rPr>
          <w:rFonts w:hint="eastAsia" w:ascii="宋体" w:hAnsi="宋体" w:cs="宋体"/>
          <w:b w:val="0"/>
          <w:bCs/>
          <w:szCs w:val="21"/>
          <w:highlight w:val="red"/>
        </w:rPr>
        <w:t>11.1.2.规定商务标文件的包装需要单独密封</w:t>
      </w:r>
    </w:p>
    <w:p>
      <w:pPr>
        <w:rPr>
          <w:rFonts w:ascii="宋体" w:hAnsi="宋体" w:cs="宋体"/>
          <w:b/>
          <w:bCs/>
          <w:szCs w:val="21"/>
        </w:rPr>
      </w:pPr>
      <w:r>
        <w:rPr>
          <w:rFonts w:hint="eastAsia" w:ascii="宋体" w:hAnsi="宋体" w:cs="宋体"/>
          <w:b/>
          <w:bCs/>
          <w:szCs w:val="21"/>
        </w:rPr>
        <w:t>*11.2.资格标文件（以下文件均需加盖公章）</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11.2.1 投标函（详见第二章，投标格式文件）；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11.2.2 法定代表人授权委托书（详见第二章，投标格式文件）；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11.2.3投标方信息表（详见第二章，投标格式文件）；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11.2.4 投标人《营业执照》副本复印件；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11.2.5 三个月内由其开立基本账户的银行开具的银行资信证明复印件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11.2.6 招标人在招标书中要求的证书、文件等资料；</w:t>
      </w:r>
    </w:p>
    <w:p>
      <w:pPr>
        <w:rPr>
          <w:rFonts w:ascii="宋体" w:hAnsi="宋体" w:cs="宋体"/>
          <w:szCs w:val="21"/>
        </w:rPr>
      </w:pPr>
      <w:r>
        <w:rPr>
          <w:rFonts w:hint="eastAsia" w:ascii="宋体" w:hAnsi="宋体" w:cs="宋体"/>
          <w:szCs w:val="21"/>
        </w:rPr>
        <w:t xml:space="preserve">11.2.7生产或经营许可证或代理商资格证明复印件； </w:t>
      </w:r>
    </w:p>
    <w:p>
      <w:pPr>
        <w:rPr>
          <w:rFonts w:ascii="宋体" w:hAnsi="宋体" w:cs="宋体"/>
          <w:b/>
          <w:bCs/>
          <w:szCs w:val="21"/>
        </w:rPr>
      </w:pPr>
      <w:r>
        <w:rPr>
          <w:rFonts w:hint="eastAsia" w:ascii="宋体" w:hAnsi="宋体" w:cs="宋体"/>
          <w:b/>
          <w:bCs/>
          <w:szCs w:val="21"/>
        </w:rPr>
        <w:t>*11.3.技术标文件（详见第三章）：</w:t>
      </w:r>
    </w:p>
    <w:p>
      <w:pPr>
        <w:pStyle w:val="29"/>
        <w:ind w:firstLine="0" w:firstLineChars="0"/>
        <w:rPr>
          <w:rFonts w:ascii="宋体" w:hAnsi="宋体" w:cs="宋体"/>
          <w:szCs w:val="21"/>
        </w:rPr>
      </w:pPr>
      <w:r>
        <w:rPr>
          <w:rFonts w:hint="eastAsia" w:ascii="宋体" w:hAnsi="宋体" w:cs="宋体"/>
          <w:szCs w:val="21"/>
        </w:rPr>
        <w:t>11.3.1.</w:t>
      </w:r>
      <w:r>
        <w:rPr>
          <w:rFonts w:hint="eastAsia" w:ascii="宋体" w:hAnsi="宋体" w:cs="宋体"/>
          <w:color w:val="000000"/>
          <w:sz w:val="24"/>
        </w:rPr>
        <w:t>投标方陈述文件（投标人视各自的情况自行编制，含公司简介、技术水平、质量能力、市场表现、竞争优势五个方面分别简要介绍）；</w:t>
      </w:r>
    </w:p>
    <w:p>
      <w:pPr>
        <w:pStyle w:val="29"/>
        <w:ind w:firstLine="0" w:firstLineChars="0"/>
        <w:rPr>
          <w:rFonts w:ascii="宋体" w:hAnsi="宋体" w:cs="宋体"/>
          <w:color w:val="000000"/>
          <w:sz w:val="24"/>
        </w:rPr>
      </w:pPr>
      <w:r>
        <w:rPr>
          <w:rFonts w:hint="eastAsia" w:ascii="宋体" w:hAnsi="宋体" w:cs="宋体"/>
          <w:szCs w:val="21"/>
        </w:rPr>
        <w:t>11.3.2.</w:t>
      </w:r>
      <w:r>
        <w:rPr>
          <w:rFonts w:hint="eastAsia" w:ascii="宋体" w:hAnsi="宋体" w:cs="宋体"/>
          <w:color w:val="000000"/>
          <w:sz w:val="24"/>
        </w:rPr>
        <w:t xml:space="preserve">投标产品技术标准（含主要技术参数、规格型号、品牌、产地等内容）； </w:t>
      </w:r>
    </w:p>
    <w:p>
      <w:pPr>
        <w:pStyle w:val="29"/>
        <w:ind w:firstLine="0" w:firstLineChars="0"/>
        <w:rPr>
          <w:rFonts w:ascii="宋体" w:hAnsi="宋体" w:cs="宋体"/>
          <w:color w:val="000000"/>
          <w:sz w:val="24"/>
        </w:rPr>
      </w:pPr>
      <w:r>
        <w:rPr>
          <w:rFonts w:hint="eastAsia" w:ascii="宋体" w:hAnsi="宋体" w:cs="宋体"/>
          <w:szCs w:val="21"/>
        </w:rPr>
        <w:t>11.3.3.</w:t>
      </w:r>
      <w:r>
        <w:rPr>
          <w:rFonts w:hint="eastAsia" w:ascii="宋体" w:hAnsi="宋体" w:cs="宋体"/>
          <w:color w:val="000000"/>
          <w:sz w:val="24"/>
        </w:rPr>
        <w:t>技术规格偏离表（附件４）</w:t>
      </w:r>
    </w:p>
    <w:p>
      <w:pPr>
        <w:pStyle w:val="29"/>
        <w:ind w:firstLine="0" w:firstLineChars="0"/>
        <w:rPr>
          <w:rFonts w:ascii="宋体" w:hAnsi="宋体" w:cs="宋体"/>
          <w:color w:val="000000"/>
          <w:sz w:val="24"/>
        </w:rPr>
      </w:pPr>
      <w:r>
        <w:rPr>
          <w:rFonts w:hint="eastAsia" w:ascii="宋体" w:hAnsi="宋体" w:cs="宋体"/>
          <w:szCs w:val="21"/>
        </w:rPr>
        <w:t>11.3.4.</w:t>
      </w:r>
      <w:r>
        <w:rPr>
          <w:rFonts w:hint="eastAsia" w:ascii="宋体" w:hAnsi="宋体" w:cs="宋体"/>
          <w:color w:val="000000"/>
          <w:sz w:val="24"/>
        </w:rPr>
        <w:t>同类货物的2</w:t>
      </w:r>
      <w:r>
        <w:rPr>
          <w:rFonts w:ascii="宋体" w:hAnsi="宋体" w:cs="宋体"/>
          <w:color w:val="000000"/>
          <w:sz w:val="24"/>
        </w:rPr>
        <w:t>01</w:t>
      </w:r>
      <w:r>
        <w:rPr>
          <w:rFonts w:hint="eastAsia" w:ascii="宋体" w:hAnsi="宋体" w:cs="宋体"/>
          <w:color w:val="000000"/>
          <w:sz w:val="24"/>
        </w:rPr>
        <w:t>9～2</w:t>
      </w:r>
      <w:r>
        <w:rPr>
          <w:rFonts w:ascii="宋体" w:hAnsi="宋体" w:cs="宋体"/>
          <w:color w:val="000000"/>
          <w:sz w:val="24"/>
        </w:rPr>
        <w:t>0</w:t>
      </w:r>
      <w:r>
        <w:rPr>
          <w:rFonts w:hint="eastAsia" w:ascii="宋体" w:hAnsi="宋体" w:cs="宋体"/>
          <w:color w:val="000000"/>
          <w:sz w:val="24"/>
        </w:rPr>
        <w:t>20年销售业绩清单(列表说明，业绩中要求体现采购方、销售数据等信息)</w:t>
      </w:r>
    </w:p>
    <w:p>
      <w:pPr>
        <w:rPr>
          <w:rFonts w:ascii="宋体" w:hAnsi="宋体" w:cs="宋体"/>
          <w:szCs w:val="21"/>
        </w:rPr>
      </w:pPr>
      <w:r>
        <w:rPr>
          <w:rFonts w:hint="eastAsia" w:ascii="宋体" w:hAnsi="宋体" w:cs="宋体"/>
          <w:szCs w:val="21"/>
        </w:rPr>
        <w:t xml:space="preserve">注：上述文件（技术文件）中不得出现价格信息，否则投标文件将不被承认 。 </w:t>
      </w:r>
    </w:p>
    <w:p>
      <w:pPr>
        <w:rPr>
          <w:rFonts w:ascii="宋体" w:hAnsi="宋体" w:cs="宋体"/>
          <w:b w:val="0"/>
          <w:bCs w:val="0"/>
          <w:color w:val="000000"/>
          <w:sz w:val="24"/>
          <w:highlight w:val="red"/>
        </w:rPr>
      </w:pPr>
      <w:r>
        <w:rPr>
          <w:rFonts w:hint="eastAsia" w:ascii="宋体" w:hAnsi="宋体" w:cs="宋体"/>
          <w:b w:val="0"/>
          <w:bCs w:val="0"/>
          <w:szCs w:val="21"/>
          <w:highlight w:val="red"/>
        </w:rPr>
        <w:t>*</w:t>
      </w:r>
      <w:r>
        <w:rPr>
          <w:rFonts w:hint="eastAsia" w:ascii="宋体" w:hAnsi="宋体" w:cs="宋体"/>
          <w:b w:val="0"/>
          <w:bCs w:val="0"/>
          <w:color w:val="000000"/>
          <w:sz w:val="24"/>
          <w:highlight w:val="red"/>
        </w:rPr>
        <w:t>11.3.商务文件（单独密封）：</w:t>
      </w:r>
    </w:p>
    <w:p>
      <w:pPr>
        <w:pStyle w:val="29"/>
        <w:numPr>
          <w:ilvl w:val="0"/>
          <w:numId w:val="3"/>
        </w:numPr>
        <w:ind w:left="3256" w:firstLineChars="0"/>
        <w:rPr>
          <w:rFonts w:ascii="宋体" w:hAnsi="宋体" w:cs="宋体"/>
          <w:b w:val="0"/>
          <w:bCs w:val="0"/>
          <w:color w:val="000000"/>
          <w:sz w:val="24"/>
          <w:highlight w:val="red"/>
          <w:u w:val="single"/>
        </w:rPr>
      </w:pPr>
      <w:bookmarkStart w:id="38" w:name="_Toc4969"/>
      <w:bookmarkStart w:id="39" w:name="_Toc17069"/>
      <w:r>
        <w:rPr>
          <w:rFonts w:hint="eastAsia" w:ascii="宋体" w:hAnsi="宋体" w:cs="宋体"/>
          <w:b w:val="0"/>
          <w:bCs w:val="0"/>
          <w:color w:val="000000"/>
          <w:sz w:val="24"/>
          <w:highlight w:val="red"/>
          <w:u w:val="single"/>
        </w:rPr>
        <w:t>报价一览表(附件５)；</w:t>
      </w:r>
      <w:bookmarkEnd w:id="38"/>
      <w:bookmarkEnd w:id="39"/>
    </w:p>
    <w:p>
      <w:pPr>
        <w:pStyle w:val="29"/>
        <w:numPr>
          <w:ilvl w:val="0"/>
          <w:numId w:val="3"/>
        </w:numPr>
        <w:ind w:left="3256" w:firstLineChars="0"/>
        <w:rPr>
          <w:rFonts w:ascii="宋体" w:hAnsi="宋体" w:cs="宋体"/>
          <w:b w:val="0"/>
          <w:bCs w:val="0"/>
          <w:color w:val="000000"/>
          <w:sz w:val="24"/>
          <w:highlight w:val="red"/>
          <w:u w:val="single"/>
        </w:rPr>
      </w:pPr>
      <w:r>
        <w:rPr>
          <w:rFonts w:hint="eastAsia" w:ascii="宋体" w:hAnsi="宋体" w:cs="宋体"/>
          <w:b w:val="0"/>
          <w:bCs w:val="0"/>
          <w:color w:val="000000"/>
          <w:sz w:val="24"/>
          <w:highlight w:val="red"/>
          <w:u w:val="single"/>
        </w:rPr>
        <w:t>报价明细表（附件６）；</w:t>
      </w:r>
    </w:p>
    <w:p>
      <w:pPr>
        <w:pStyle w:val="29"/>
        <w:numPr>
          <w:ilvl w:val="0"/>
          <w:numId w:val="3"/>
        </w:numPr>
        <w:ind w:left="3256" w:firstLineChars="0"/>
        <w:rPr>
          <w:rFonts w:ascii="宋体" w:hAnsi="宋体" w:cs="宋体"/>
          <w:b w:val="0"/>
          <w:bCs w:val="0"/>
          <w:color w:val="000000"/>
          <w:sz w:val="24"/>
          <w:highlight w:val="red"/>
          <w:u w:val="single"/>
        </w:rPr>
      </w:pPr>
      <w:bookmarkStart w:id="40" w:name="_Toc24159"/>
      <w:bookmarkStart w:id="41" w:name="_Toc12091"/>
      <w:r>
        <w:rPr>
          <w:rFonts w:hint="eastAsia" w:ascii="宋体" w:hAnsi="宋体" w:cs="宋体"/>
          <w:b w:val="0"/>
          <w:bCs w:val="0"/>
          <w:color w:val="000000"/>
          <w:sz w:val="24"/>
          <w:highlight w:val="red"/>
          <w:u w:val="single"/>
        </w:rPr>
        <w:t>合同条款偏离表</w:t>
      </w:r>
      <w:bookmarkEnd w:id="40"/>
      <w:bookmarkEnd w:id="41"/>
      <w:r>
        <w:rPr>
          <w:rFonts w:hint="eastAsia" w:ascii="宋体" w:hAnsi="宋体" w:cs="宋体"/>
          <w:b w:val="0"/>
          <w:bCs w:val="0"/>
          <w:color w:val="000000"/>
          <w:sz w:val="24"/>
          <w:highlight w:val="red"/>
          <w:u w:val="single"/>
        </w:rPr>
        <w:t>（附件７）。</w:t>
      </w:r>
    </w:p>
    <w:p>
      <w:pPr>
        <w:pStyle w:val="29"/>
        <w:numPr>
          <w:ilvl w:val="0"/>
          <w:numId w:val="3"/>
        </w:numPr>
        <w:ind w:left="3256" w:firstLineChars="0"/>
        <w:rPr>
          <w:rFonts w:ascii="宋体" w:hAnsi="宋体" w:cs="宋体"/>
          <w:b w:val="0"/>
          <w:bCs w:val="0"/>
          <w:color w:val="000000"/>
          <w:sz w:val="24"/>
          <w:highlight w:val="red"/>
          <w:u w:val="single"/>
        </w:rPr>
      </w:pPr>
      <w:r>
        <w:rPr>
          <w:rFonts w:hint="eastAsia" w:ascii="宋体" w:hAnsi="宋体" w:cs="宋体"/>
          <w:b w:val="0"/>
          <w:bCs w:val="0"/>
          <w:color w:val="000000"/>
          <w:sz w:val="24"/>
          <w:highlight w:val="red"/>
          <w:u w:val="single"/>
        </w:rPr>
        <w:t>供应商质量基本要求偏离表（附件8）</w:t>
      </w:r>
    </w:p>
    <w:p>
      <w:pPr>
        <w:rPr>
          <w:rFonts w:ascii="宋体" w:hAnsi="宋体" w:cs="宋体"/>
          <w:b/>
          <w:color w:val="000000"/>
          <w:sz w:val="24"/>
        </w:rPr>
      </w:pPr>
      <w:bookmarkStart w:id="42" w:name="_Toc8081"/>
      <w:bookmarkStart w:id="43" w:name="_Toc23718"/>
      <w:r>
        <w:rPr>
          <w:rFonts w:hint="eastAsia" w:ascii="宋体" w:hAnsi="宋体" w:cs="宋体"/>
          <w:b/>
          <w:bCs/>
          <w:szCs w:val="21"/>
        </w:rPr>
        <w:t>*</w:t>
      </w:r>
      <w:r>
        <w:rPr>
          <w:rFonts w:hint="eastAsia" w:ascii="宋体" w:hAnsi="宋体" w:cs="宋体"/>
          <w:b/>
          <w:color w:val="000000"/>
          <w:sz w:val="24"/>
        </w:rPr>
        <w:t>11.4.招标文件（盖章单独密封）：</w:t>
      </w:r>
    </w:p>
    <w:p>
      <w:pPr>
        <w:pStyle w:val="29"/>
        <w:numPr>
          <w:ilvl w:val="0"/>
          <w:numId w:val="4"/>
        </w:numPr>
        <w:ind w:firstLineChars="0"/>
        <w:rPr>
          <w:rFonts w:ascii="宋体" w:hAnsi="宋体" w:cs="宋体"/>
          <w:color w:val="000000"/>
          <w:sz w:val="24"/>
          <w:u w:val="single"/>
        </w:rPr>
      </w:pPr>
      <w:r>
        <w:rPr>
          <w:rFonts w:hint="eastAsia" w:ascii="宋体" w:hAnsi="宋体" w:cs="宋体"/>
          <w:color w:val="000000"/>
          <w:sz w:val="24"/>
          <w:u w:val="single"/>
        </w:rPr>
        <w:t>本招标文件；</w:t>
      </w:r>
    </w:p>
    <w:p>
      <w:pPr>
        <w:rPr>
          <w:rFonts w:ascii="宋体" w:hAnsi="宋体" w:cs="宋体"/>
          <w:b/>
          <w:bCs/>
          <w:szCs w:val="21"/>
        </w:rPr>
      </w:pPr>
      <w:r>
        <w:rPr>
          <w:rFonts w:hint="eastAsia" w:ascii="宋体" w:hAnsi="宋体" w:cs="宋体"/>
          <w:b/>
          <w:bCs/>
          <w:szCs w:val="21"/>
        </w:rPr>
        <w:t>*12 投标文件编制要求</w:t>
      </w:r>
    </w:p>
    <w:p>
      <w:pPr>
        <w:rPr>
          <w:rFonts w:ascii="宋体" w:hAnsi="宋体" w:cs="宋体"/>
          <w:szCs w:val="21"/>
        </w:rPr>
      </w:pPr>
      <w:r>
        <w:rPr>
          <w:rFonts w:hint="eastAsia" w:ascii="宋体" w:hAnsi="宋体" w:cs="宋体"/>
          <w:szCs w:val="21"/>
        </w:rPr>
        <w:t>12.1.投标人应将上述投标文件按本招标文件的规定编制。</w:t>
      </w:r>
    </w:p>
    <w:p>
      <w:pPr>
        <w:rPr>
          <w:rFonts w:ascii="宋体" w:hAnsi="宋体" w:cs="宋体"/>
          <w:szCs w:val="21"/>
        </w:rPr>
      </w:pPr>
      <w:r>
        <w:rPr>
          <w:rFonts w:hint="eastAsia" w:ascii="宋体" w:hAnsi="宋体" w:cs="宋体"/>
          <w:szCs w:val="21"/>
        </w:rPr>
        <w:t>12.2.《报价一览表》为在开标仪式上唱标的内容，要求按格式填写，统一规范，不得自行增减内容。</w:t>
      </w:r>
    </w:p>
    <w:p>
      <w:pPr>
        <w:rPr>
          <w:rFonts w:ascii="宋体" w:hAnsi="宋体" w:cs="宋体"/>
          <w:b/>
          <w:bCs/>
          <w:szCs w:val="21"/>
        </w:rPr>
      </w:pPr>
      <w:r>
        <w:rPr>
          <w:rFonts w:hint="eastAsia" w:ascii="宋体" w:hAnsi="宋体" w:cs="宋体"/>
          <w:b/>
          <w:bCs/>
          <w:szCs w:val="21"/>
        </w:rPr>
        <w:t>*13 投标报价表编制要求说明</w:t>
      </w:r>
    </w:p>
    <w:p>
      <w:pPr>
        <w:rPr>
          <w:rFonts w:ascii="宋体" w:hAnsi="宋体" w:cs="宋体"/>
          <w:szCs w:val="21"/>
        </w:rPr>
      </w:pPr>
      <w:r>
        <w:rPr>
          <w:rFonts w:hint="eastAsia" w:ascii="宋体" w:hAnsi="宋体" w:cs="宋体"/>
          <w:szCs w:val="21"/>
        </w:rPr>
        <w:t>13.1.《报价一览表》中的每一单项均应填写单价，且含税。</w:t>
      </w:r>
    </w:p>
    <w:p>
      <w:pPr>
        <w:rPr>
          <w:rFonts w:ascii="宋体" w:hAnsi="宋体" w:cs="宋体"/>
          <w:szCs w:val="21"/>
        </w:rPr>
      </w:pPr>
      <w:r>
        <w:rPr>
          <w:rFonts w:hint="eastAsia" w:ascii="宋体" w:hAnsi="宋体" w:cs="宋体"/>
          <w:szCs w:val="21"/>
        </w:rPr>
        <w:t>13.2.除非招标文件另有规定，投标文件报价中的单价全部采用人民币表示。</w:t>
      </w:r>
    </w:p>
    <w:p>
      <w:pPr>
        <w:pStyle w:val="29"/>
        <w:ind w:firstLine="0" w:firstLineChars="0"/>
        <w:rPr>
          <w:rFonts w:ascii="宋体" w:hAnsi="宋体" w:cs="宋体"/>
          <w:color w:val="000000"/>
          <w:sz w:val="24"/>
          <w:u w:val="single"/>
        </w:rPr>
      </w:pPr>
    </w:p>
    <w:bookmarkEnd w:id="42"/>
    <w:bookmarkEnd w:id="43"/>
    <w:p>
      <w:pPr>
        <w:rPr>
          <w:rFonts w:ascii="宋体" w:hAnsi="宋体" w:cs="宋体"/>
          <w:b/>
          <w:sz w:val="24"/>
        </w:rPr>
      </w:pPr>
      <w:bookmarkStart w:id="44" w:name="_Toc32007"/>
      <w:bookmarkStart w:id="45" w:name="_Toc819"/>
      <w:r>
        <w:rPr>
          <w:rFonts w:hint="eastAsia" w:ascii="宋体" w:hAnsi="宋体" w:cs="宋体"/>
          <w:b/>
          <w:bCs/>
          <w:szCs w:val="21"/>
        </w:rPr>
        <w:t>*</w:t>
      </w:r>
      <w:r>
        <w:rPr>
          <w:rFonts w:hint="eastAsia" w:ascii="宋体" w:hAnsi="宋体" w:cs="宋体"/>
          <w:b/>
          <w:sz w:val="24"/>
        </w:rPr>
        <w:t>14. 投标保证金</w:t>
      </w:r>
      <w:bookmarkEnd w:id="44"/>
      <w:bookmarkEnd w:id="45"/>
    </w:p>
    <w:p>
      <w:pPr>
        <w:rPr>
          <w:rFonts w:ascii="宋体" w:hAnsi="宋体" w:cs="宋体"/>
          <w:sz w:val="24"/>
        </w:rPr>
      </w:pPr>
      <w:r>
        <w:rPr>
          <w:rFonts w:hint="eastAsia" w:ascii="宋体" w:hAnsi="宋体" w:cs="宋体"/>
          <w:sz w:val="24"/>
        </w:rPr>
        <w:t xml:space="preserve">14.1.投标人投标时应向招标人提交人民币 </w:t>
      </w:r>
      <w:r>
        <w:rPr>
          <w:rFonts w:hint="eastAsia" w:ascii="宋体" w:hAnsi="宋体" w:cs="宋体"/>
          <w:b/>
          <w:bCs/>
          <w:sz w:val="24"/>
          <w:u w:val="single"/>
        </w:rPr>
        <w:t xml:space="preserve">伍万  </w:t>
      </w:r>
      <w:r>
        <w:rPr>
          <w:rFonts w:hint="eastAsia" w:ascii="宋体" w:hAnsi="宋体" w:cs="宋体"/>
          <w:sz w:val="24"/>
        </w:rPr>
        <w:t>元作为投标保证金。</w:t>
      </w:r>
    </w:p>
    <w:p>
      <w:pPr>
        <w:rPr>
          <w:rFonts w:ascii="宋体" w:hAnsi="宋体" w:cs="宋体"/>
          <w:sz w:val="24"/>
        </w:rPr>
      </w:pPr>
      <w:r>
        <w:rPr>
          <w:rFonts w:hint="eastAsia" w:ascii="宋体" w:hAnsi="宋体" w:cs="宋体"/>
          <w:sz w:val="24"/>
        </w:rPr>
        <w:t>14.2.投标人交纳的投标保证金必须在本招标文件规定的投标截止时间前，按本招标文件的规定方式交纳（如汇款以到账日期为准）。</w:t>
      </w:r>
    </w:p>
    <w:p>
      <w:pPr>
        <w:rPr>
          <w:rFonts w:ascii="宋体" w:hAnsi="宋体" w:cs="宋体"/>
          <w:sz w:val="24"/>
        </w:rPr>
      </w:pPr>
      <w:r>
        <w:rPr>
          <w:rFonts w:hint="eastAsia" w:ascii="宋体" w:hAnsi="宋体" w:cs="宋体"/>
          <w:sz w:val="24"/>
        </w:rPr>
        <w:t>14.3.未按上述要求提交投标保证金的投标人，招标人/招标代理机构将拒绝其投标文件。</w:t>
      </w:r>
    </w:p>
    <w:p>
      <w:pPr>
        <w:rPr>
          <w:rFonts w:ascii="宋体" w:hAnsi="宋体" w:cs="宋体"/>
          <w:sz w:val="24"/>
        </w:rPr>
      </w:pPr>
      <w:r>
        <w:rPr>
          <w:rFonts w:hint="eastAsia" w:ascii="宋体" w:hAnsi="宋体" w:cs="宋体"/>
          <w:sz w:val="24"/>
        </w:rPr>
        <w:t>14.4.未中标的投标人的投标保证金，将在招标人发出中标通知书后20个工作日内由招标机构无息退还。中标人的投标保证金将在招标人与中标方签订的合同生效后20个工作日无息退还。出具财务证明的投标人不论中标与否，不予以办理退款。</w:t>
      </w:r>
    </w:p>
    <w:p>
      <w:pPr>
        <w:rPr>
          <w:rFonts w:ascii="宋体" w:hAnsi="宋体" w:cs="宋体"/>
          <w:sz w:val="24"/>
        </w:rPr>
      </w:pPr>
      <w:r>
        <w:rPr>
          <w:rFonts w:hint="eastAsia" w:ascii="宋体" w:hAnsi="宋体" w:cs="宋体"/>
          <w:sz w:val="24"/>
        </w:rPr>
        <w:t>14.5.发生下列情况之一，投标保证金将被没收。</w:t>
      </w:r>
    </w:p>
    <w:p>
      <w:pPr>
        <w:rPr>
          <w:rFonts w:ascii="宋体" w:hAnsi="宋体" w:cs="宋体"/>
          <w:sz w:val="24"/>
        </w:rPr>
      </w:pPr>
      <w:r>
        <w:rPr>
          <w:rFonts w:hint="eastAsia" w:ascii="宋体" w:hAnsi="宋体" w:cs="宋体"/>
          <w:sz w:val="24"/>
        </w:rPr>
        <w:t>14.5.1.在投标有效期内，投标人撤回其投标文件的；</w:t>
      </w:r>
    </w:p>
    <w:p>
      <w:pPr>
        <w:rPr>
          <w:rFonts w:ascii="宋体" w:hAnsi="宋体" w:cs="宋体"/>
          <w:sz w:val="24"/>
        </w:rPr>
      </w:pPr>
      <w:r>
        <w:rPr>
          <w:rFonts w:hint="eastAsia" w:ascii="宋体" w:hAnsi="宋体" w:cs="宋体"/>
          <w:sz w:val="24"/>
        </w:rPr>
        <w:t>14.5.2.投标人所提投标文件经查内容不实的；</w:t>
      </w:r>
    </w:p>
    <w:p>
      <w:pPr>
        <w:rPr>
          <w:rFonts w:ascii="宋体" w:hAnsi="宋体" w:cs="宋体"/>
          <w:sz w:val="24"/>
        </w:rPr>
      </w:pPr>
      <w:bookmarkStart w:id="46" w:name="_Toc8079"/>
      <w:bookmarkStart w:id="47" w:name="_Toc18240"/>
      <w:r>
        <w:rPr>
          <w:rFonts w:hint="eastAsia" w:ascii="宋体" w:hAnsi="宋体" w:cs="宋体"/>
          <w:sz w:val="24"/>
        </w:rPr>
        <w:t>14.5.3. 投标人在投标过程中有违反有关法律法规行为的；</w:t>
      </w:r>
      <w:bookmarkEnd w:id="46"/>
      <w:bookmarkEnd w:id="47"/>
    </w:p>
    <w:p>
      <w:pPr>
        <w:rPr>
          <w:rFonts w:ascii="宋体" w:hAnsi="宋体" w:cs="宋体"/>
          <w:sz w:val="24"/>
        </w:rPr>
      </w:pPr>
      <w:r>
        <w:rPr>
          <w:rFonts w:hint="eastAsia" w:ascii="宋体" w:hAnsi="宋体" w:cs="宋体"/>
          <w:sz w:val="24"/>
        </w:rPr>
        <w:t>14.5.4. 中标人无正当理由不按本投标文件相关条款规定与招标人签订合同的；</w:t>
      </w:r>
    </w:p>
    <w:p>
      <w:pPr>
        <w:rPr>
          <w:rFonts w:ascii="宋体" w:hAnsi="宋体" w:cs="宋体"/>
          <w:sz w:val="24"/>
        </w:rPr>
      </w:pPr>
      <w:bookmarkStart w:id="48" w:name="_Toc19793"/>
      <w:bookmarkStart w:id="49" w:name="_Toc4586"/>
      <w:r>
        <w:rPr>
          <w:rFonts w:hint="eastAsia" w:ascii="宋体" w:hAnsi="宋体" w:cs="宋体"/>
          <w:sz w:val="24"/>
        </w:rPr>
        <w:t>14.5.5. 中标人不按签订合同约定执行的；</w:t>
      </w:r>
      <w:bookmarkEnd w:id="48"/>
      <w:bookmarkEnd w:id="49"/>
    </w:p>
    <w:p>
      <w:pPr>
        <w:rPr>
          <w:rFonts w:ascii="宋体" w:hAnsi="宋体" w:cs="宋体"/>
          <w:sz w:val="24"/>
        </w:rPr>
      </w:pPr>
      <w:bookmarkStart w:id="50" w:name="_Toc10986"/>
      <w:bookmarkStart w:id="51" w:name="_Toc10924"/>
      <w:r>
        <w:rPr>
          <w:rFonts w:hint="eastAsia" w:ascii="宋体" w:hAnsi="宋体" w:cs="宋体"/>
          <w:b/>
          <w:bCs/>
          <w:szCs w:val="21"/>
        </w:rPr>
        <w:t>*</w:t>
      </w:r>
      <w:r>
        <w:rPr>
          <w:rFonts w:hint="eastAsia" w:ascii="宋体" w:hAnsi="宋体" w:cs="宋体"/>
          <w:sz w:val="24"/>
        </w:rPr>
        <w:t>15. 投标文件的有效期</w:t>
      </w:r>
      <w:bookmarkEnd w:id="50"/>
      <w:bookmarkEnd w:id="51"/>
    </w:p>
    <w:p>
      <w:pPr>
        <w:rPr>
          <w:rFonts w:ascii="宋体" w:hAnsi="宋体" w:cs="宋体"/>
          <w:sz w:val="24"/>
        </w:rPr>
      </w:pPr>
      <w:r>
        <w:rPr>
          <w:rFonts w:hint="eastAsia" w:ascii="宋体" w:hAnsi="宋体" w:cs="宋体"/>
          <w:sz w:val="24"/>
        </w:rPr>
        <w:t>15.1. 在本招标文件规定的有效期内，投标文件应保持有效。</w:t>
      </w:r>
    </w:p>
    <w:p>
      <w:pPr>
        <w:rPr>
          <w:rFonts w:ascii="宋体" w:hAnsi="宋体" w:cs="宋体"/>
          <w:sz w:val="24"/>
        </w:rPr>
      </w:pPr>
      <w:r>
        <w:rPr>
          <w:rFonts w:hint="eastAsia" w:ascii="宋体" w:hAnsi="宋体" w:cs="宋体"/>
          <w:sz w:val="24"/>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pPr>
        <w:rPr>
          <w:rFonts w:ascii="宋体" w:hAnsi="宋体" w:cs="宋体"/>
          <w:b/>
          <w:sz w:val="24"/>
        </w:rPr>
      </w:pPr>
      <w:bookmarkStart w:id="52" w:name="_Toc10916"/>
      <w:bookmarkStart w:id="53" w:name="_Toc31903"/>
      <w:r>
        <w:rPr>
          <w:rFonts w:hint="eastAsia" w:ascii="宋体" w:hAnsi="宋体" w:cs="宋体"/>
          <w:b/>
          <w:bCs/>
          <w:szCs w:val="21"/>
        </w:rPr>
        <w:t>*</w:t>
      </w:r>
      <w:r>
        <w:rPr>
          <w:rFonts w:hint="eastAsia" w:ascii="宋体" w:hAnsi="宋体" w:cs="宋体"/>
          <w:b/>
          <w:sz w:val="24"/>
        </w:rPr>
        <w:t>16. 投标文件的签署及加密</w:t>
      </w:r>
      <w:bookmarkEnd w:id="52"/>
      <w:bookmarkEnd w:id="53"/>
    </w:p>
    <w:p>
      <w:pPr>
        <w:rPr>
          <w:rFonts w:ascii="宋体" w:hAnsi="宋体" w:cs="宋体"/>
          <w:sz w:val="24"/>
        </w:rPr>
      </w:pPr>
      <w:r>
        <w:rPr>
          <w:rFonts w:hint="eastAsia" w:ascii="宋体" w:hAnsi="宋体" w:cs="宋体"/>
          <w:sz w:val="24"/>
        </w:rPr>
        <w:t xml:space="preserve">投标人应按本招标文件的规定签署投标文件并加密（或密封）全部或部分投标文件。 </w:t>
      </w:r>
    </w:p>
    <w:p>
      <w:pPr>
        <w:rPr>
          <w:rFonts w:ascii="宋体" w:hAnsi="宋体" w:cs="宋体"/>
          <w:sz w:val="24"/>
        </w:rPr>
      </w:pPr>
    </w:p>
    <w:p>
      <w:pPr>
        <w:rPr>
          <w:rFonts w:ascii="宋体" w:hAnsi="宋体" w:cs="宋体"/>
          <w:sz w:val="24"/>
        </w:rPr>
      </w:pPr>
      <w:bookmarkStart w:id="54" w:name="_Toc23121"/>
      <w:bookmarkStart w:id="55" w:name="_Toc16079"/>
      <w:r>
        <w:rPr>
          <w:rFonts w:hint="eastAsia" w:ascii="宋体" w:hAnsi="宋体" w:cs="宋体"/>
          <w:sz w:val="24"/>
        </w:rPr>
        <w:t>E. 投标文件的递交</w:t>
      </w:r>
      <w:bookmarkEnd w:id="54"/>
      <w:bookmarkEnd w:id="55"/>
    </w:p>
    <w:p>
      <w:pPr>
        <w:rPr>
          <w:rFonts w:ascii="宋体" w:hAnsi="宋体" w:cs="宋体"/>
          <w:b/>
          <w:sz w:val="24"/>
        </w:rPr>
      </w:pPr>
      <w:bookmarkStart w:id="56" w:name="_Toc3580"/>
      <w:bookmarkStart w:id="57" w:name="_Toc29058"/>
      <w:r>
        <w:rPr>
          <w:rFonts w:hint="eastAsia" w:ascii="宋体" w:hAnsi="宋体" w:cs="宋体"/>
          <w:b/>
          <w:sz w:val="24"/>
        </w:rPr>
        <w:t>17. 投标截止时间</w:t>
      </w:r>
      <w:bookmarkEnd w:id="56"/>
      <w:bookmarkEnd w:id="57"/>
    </w:p>
    <w:p>
      <w:pPr>
        <w:rPr>
          <w:rFonts w:ascii="宋体" w:hAnsi="宋体" w:cs="宋体"/>
          <w:sz w:val="24"/>
        </w:rPr>
      </w:pPr>
      <w:r>
        <w:rPr>
          <w:rFonts w:hint="eastAsia" w:ascii="宋体" w:hAnsi="宋体" w:cs="宋体"/>
          <w:sz w:val="24"/>
        </w:rPr>
        <w:t>17.1.投标文件必须按本招标文件规定的投标截止时间之前以本招标文件规定的方式送达招标机构。</w:t>
      </w:r>
    </w:p>
    <w:p>
      <w:pPr>
        <w:rPr>
          <w:rFonts w:ascii="宋体" w:hAnsi="宋体" w:cs="宋体"/>
          <w:sz w:val="24"/>
        </w:rPr>
      </w:pPr>
      <w:r>
        <w:rPr>
          <w:rFonts w:hint="eastAsia" w:ascii="宋体" w:hAnsi="宋体" w:cs="宋体"/>
          <w:sz w:val="24"/>
        </w:rPr>
        <w:t>17.2.招标人如果推迟投标截止时间时，应以本招标书规定的形式通知所有投标人。在这种情况下，招标人和投标人的权利和义务将收到新的截止期的约束。</w:t>
      </w:r>
    </w:p>
    <w:p>
      <w:pPr>
        <w:rPr>
          <w:rFonts w:ascii="宋体" w:hAnsi="宋体" w:cs="宋体"/>
          <w:sz w:val="24"/>
        </w:rPr>
      </w:pPr>
      <w:r>
        <w:rPr>
          <w:rFonts w:hint="eastAsia" w:ascii="宋体" w:hAnsi="宋体" w:cs="宋体"/>
          <w:sz w:val="24"/>
        </w:rPr>
        <w:t>17.3.在投标截止时间以后送达的投标文件，招标人将拒绝接受。</w:t>
      </w:r>
    </w:p>
    <w:p>
      <w:pPr>
        <w:rPr>
          <w:rFonts w:ascii="宋体" w:hAnsi="宋体" w:cs="宋体"/>
          <w:b/>
          <w:sz w:val="24"/>
        </w:rPr>
      </w:pPr>
      <w:bookmarkStart w:id="58" w:name="_Toc32039"/>
      <w:bookmarkStart w:id="59" w:name="_Toc18815"/>
      <w:r>
        <w:rPr>
          <w:rFonts w:hint="eastAsia" w:ascii="宋体" w:hAnsi="宋体" w:cs="宋体"/>
          <w:b/>
          <w:sz w:val="24"/>
        </w:rPr>
        <w:t>18. 投标文件的修改和撤回</w:t>
      </w:r>
      <w:bookmarkEnd w:id="58"/>
      <w:bookmarkEnd w:id="59"/>
    </w:p>
    <w:p>
      <w:pPr>
        <w:rPr>
          <w:rFonts w:ascii="宋体" w:hAnsi="宋体" w:cs="宋体"/>
          <w:sz w:val="24"/>
        </w:rPr>
      </w:pPr>
      <w:r>
        <w:rPr>
          <w:rFonts w:hint="eastAsia" w:ascii="宋体" w:hAnsi="宋体" w:cs="宋体"/>
          <w:sz w:val="24"/>
        </w:rPr>
        <w:t>除非招标人有特别要求，否则投标人在提交投标文件后不可对投标文件进行修改或撤回。</w:t>
      </w:r>
    </w:p>
    <w:p>
      <w:pPr>
        <w:rPr>
          <w:rFonts w:ascii="宋体" w:hAnsi="宋体" w:cs="宋体"/>
          <w:sz w:val="24"/>
        </w:rPr>
      </w:pPr>
    </w:p>
    <w:p>
      <w:pPr>
        <w:rPr>
          <w:rFonts w:ascii="宋体" w:hAnsi="宋体" w:cs="宋体"/>
          <w:b/>
          <w:bCs/>
          <w:szCs w:val="21"/>
        </w:rPr>
      </w:pPr>
      <w:r>
        <w:rPr>
          <w:rFonts w:hint="eastAsia" w:ascii="宋体" w:hAnsi="宋体" w:cs="宋体"/>
          <w:b/>
          <w:bCs/>
          <w:szCs w:val="21"/>
        </w:rPr>
        <w:t>F 开标和评标</w:t>
      </w:r>
    </w:p>
    <w:p>
      <w:pPr>
        <w:rPr>
          <w:rFonts w:ascii="宋体" w:hAnsi="宋体" w:cs="宋体"/>
          <w:b/>
          <w:bCs/>
          <w:szCs w:val="21"/>
        </w:rPr>
      </w:pPr>
      <w:r>
        <w:rPr>
          <w:rFonts w:hint="eastAsia" w:ascii="宋体" w:hAnsi="宋体" w:cs="宋体"/>
          <w:b/>
          <w:bCs/>
          <w:szCs w:val="21"/>
        </w:rPr>
        <w:t>19 对资格文件的初审</w:t>
      </w:r>
    </w:p>
    <w:p>
      <w:pPr>
        <w:rPr>
          <w:rFonts w:ascii="宋体" w:hAnsi="宋体" w:cs="宋体"/>
          <w:szCs w:val="21"/>
        </w:rPr>
      </w:pPr>
      <w:r>
        <w:rPr>
          <w:rFonts w:hint="eastAsia" w:ascii="宋体" w:hAnsi="宋体" w:cs="宋体"/>
          <w:szCs w:val="21"/>
        </w:rPr>
        <w:t>招标人在投标截止后，将择期在招标人派员监督下,审查投标文件是否实质性响应招标文件的要求、内容是否完整、文件签署是否齐全等。</w:t>
      </w:r>
    </w:p>
    <w:p>
      <w:pPr>
        <w:rPr>
          <w:rFonts w:ascii="宋体" w:hAnsi="宋体" w:cs="宋体"/>
          <w:b/>
          <w:bCs/>
          <w:szCs w:val="21"/>
        </w:rPr>
      </w:pPr>
      <w:r>
        <w:rPr>
          <w:rFonts w:hint="eastAsia" w:ascii="宋体" w:hAnsi="宋体" w:cs="宋体"/>
          <w:b/>
          <w:bCs/>
          <w:szCs w:val="21"/>
        </w:rPr>
        <w:t>20 技术文件评审</w:t>
      </w:r>
    </w:p>
    <w:p>
      <w:pPr>
        <w:rPr>
          <w:rFonts w:ascii="宋体" w:hAnsi="宋体" w:cs="宋体"/>
          <w:szCs w:val="21"/>
        </w:rPr>
      </w:pPr>
      <w:r>
        <w:rPr>
          <w:rFonts w:hint="eastAsia" w:ascii="宋体" w:hAnsi="宋体" w:cs="宋体"/>
          <w:szCs w:val="21"/>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rPr>
      </w:pPr>
      <w:r>
        <w:rPr>
          <w:rFonts w:hint="eastAsia" w:ascii="宋体" w:hAnsi="宋体" w:cs="宋体"/>
          <w:b/>
          <w:bCs/>
          <w:szCs w:val="21"/>
        </w:rPr>
        <w:t>21 开商务标</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21.1 招标人按本招标文件规定的时间、地点主持商务标开标。开标仪式由招标人、投标人代表及有关方面代表参加。</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 xml:space="preserve">21.2 参加开标的投标人代表应携带本人身份证明签名报到，以证明其出席开标会议。 </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21.3 投标人法定代表人或授权委托人未准时参加开标会议的视为自动放弃投标，其投标文件将不予评审，投标保证金将予以没收。</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21.4 招标人在技术标评审后当众宣布商务标的入围投标人名单，未中标的投标人可在不开封（或不解密）商务标的情况下取回商务文件并离开会场。</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21.5 开标时由入围的投标方依顺序与招标方工作人员共同检验投标文件的密封情况，并确认无误后由招标方工作人员当众进行开封标书。</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 评标委员会将对确定为实质上响应的投标文件进行审核，看其是否有计算上或累加上的算术错误。除非评标委员会另有决议，否则对计算或书写错误的修正原则如下：</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21.6.1 开标时，投标文件中报价一览表（报价表）内容与投标文件中明细内容不一致的，以价格较低者为准；</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21.6.2 投标文件的大写金额与小写金额不一致的，以大写金额为准；</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21.6.3 如果单价乘数量不等于总价，数量符合招标文件要求，以单价计算金额为准；单价金额小数点有明细错位的，应以总价为准，并修改单价；数量不符合招标文件要求的作为未实质性响应招标文件处理，该投标文件将不予以详细评审，也不得中标；</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21.6.4 对不同文字文本投标文件的解释发生异议的，以中文文本为准；</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21.6.5 投标人不同意以上修正，则其投标资格将被拒绝。</w:t>
      </w:r>
    </w:p>
    <w:p>
      <w:pPr>
        <w:pStyle w:val="32"/>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21.7 招标人对投标文件的判定，只依据投标内容本身，不依靠开标后的任何外来证明。</w:t>
      </w:r>
    </w:p>
    <w:p>
      <w:pPr>
        <w:rPr>
          <w:rFonts w:ascii="宋体" w:hAnsi="宋体" w:cs="宋体"/>
          <w:szCs w:val="21"/>
        </w:rPr>
      </w:pPr>
      <w:r>
        <w:rPr>
          <w:rFonts w:hint="eastAsia" w:ascii="宋体" w:hAnsi="宋体" w:cs="宋体"/>
          <w:bCs/>
          <w:szCs w:val="21"/>
        </w:rPr>
        <w:t>21.8 招标人将拒绝被确定为非实质性响应的投标，投标人不能通过修正或撤销不符之处而使其投标成为实质性响应的投标。</w:t>
      </w:r>
    </w:p>
    <w:p>
      <w:pPr>
        <w:rPr>
          <w:rFonts w:ascii="宋体" w:hAnsi="宋体" w:cs="宋体"/>
          <w:b/>
          <w:bCs/>
          <w:szCs w:val="21"/>
        </w:rPr>
      </w:pPr>
      <w:r>
        <w:rPr>
          <w:rFonts w:hint="eastAsia" w:ascii="宋体" w:hAnsi="宋体" w:cs="宋体"/>
          <w:b/>
          <w:bCs/>
          <w:szCs w:val="21"/>
        </w:rPr>
        <w:t>22 投标的澄清</w:t>
      </w:r>
    </w:p>
    <w:p>
      <w:pPr>
        <w:rPr>
          <w:rFonts w:ascii="宋体" w:hAnsi="宋体" w:cs="宋体"/>
          <w:szCs w:val="21"/>
        </w:rPr>
      </w:pPr>
      <w:r>
        <w:rPr>
          <w:rFonts w:hint="eastAsia" w:ascii="宋体" w:hAnsi="宋体" w:cs="宋体"/>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rPr>
      </w:pPr>
      <w:r>
        <w:rPr>
          <w:rFonts w:hint="eastAsia" w:ascii="宋体" w:hAnsi="宋体" w:cs="宋体"/>
          <w:szCs w:val="21"/>
        </w:rPr>
        <w:t>22.2.有关澄清的答复应采用书面形式，该书面答复应有投标人全权代表签署确认，并将作为投标内容的一部分。</w:t>
      </w:r>
    </w:p>
    <w:p>
      <w:pPr>
        <w:rPr>
          <w:rFonts w:ascii="宋体" w:hAnsi="宋体" w:cs="宋体"/>
          <w:szCs w:val="21"/>
        </w:rPr>
      </w:pPr>
      <w:r>
        <w:rPr>
          <w:rFonts w:hint="eastAsia" w:ascii="宋体" w:hAnsi="宋体" w:cs="宋体"/>
          <w:szCs w:val="21"/>
        </w:rPr>
        <w:t>22.3.投标人对投标文件的澄清不得改变投标的价格（校核时发现的算术错误除外）及实质内容。</w:t>
      </w:r>
    </w:p>
    <w:p>
      <w:pPr>
        <w:rPr>
          <w:rFonts w:ascii="宋体" w:hAnsi="宋体" w:cs="宋体"/>
          <w:b/>
          <w:bCs/>
          <w:szCs w:val="21"/>
        </w:rPr>
      </w:pPr>
      <w:r>
        <w:rPr>
          <w:rFonts w:hint="eastAsia" w:ascii="宋体" w:hAnsi="宋体" w:cs="宋体"/>
          <w:b/>
          <w:bCs/>
          <w:szCs w:val="21"/>
        </w:rPr>
        <w:t>23 评标的中立与保密</w:t>
      </w:r>
    </w:p>
    <w:p>
      <w:pPr>
        <w:rPr>
          <w:rFonts w:ascii="宋体" w:hAnsi="宋体" w:cs="宋体"/>
          <w:szCs w:val="21"/>
        </w:rPr>
      </w:pPr>
      <w:r>
        <w:rPr>
          <w:rFonts w:hint="eastAsia" w:ascii="宋体" w:hAnsi="宋体" w:cs="宋体"/>
          <w:szCs w:val="21"/>
        </w:rPr>
        <w:t>从招标公告日开始，在投标文件的审查、澄清、评价、比较以及授予合同的过程中，投标人对招标人和评标委员会成员施加影响的任何行为，一经发现，都将取消其投标或中标资格，并没收其投标保证金。</w:t>
      </w:r>
    </w:p>
    <w:p>
      <w:pPr>
        <w:rPr>
          <w:rFonts w:ascii="宋体" w:hAnsi="宋体" w:cs="宋体"/>
          <w:b/>
          <w:bCs/>
          <w:szCs w:val="21"/>
        </w:rPr>
      </w:pPr>
      <w:r>
        <w:rPr>
          <w:rFonts w:hint="eastAsia" w:ascii="宋体" w:hAnsi="宋体" w:cs="宋体"/>
          <w:b/>
          <w:bCs/>
          <w:szCs w:val="21"/>
        </w:rPr>
        <w:t>G 定标</w:t>
      </w:r>
    </w:p>
    <w:p>
      <w:pPr>
        <w:rPr>
          <w:rFonts w:ascii="宋体" w:hAnsi="宋体" w:cs="宋体"/>
          <w:b/>
          <w:bCs/>
          <w:szCs w:val="21"/>
        </w:rPr>
      </w:pPr>
      <w:r>
        <w:rPr>
          <w:rFonts w:hint="eastAsia" w:ascii="宋体" w:hAnsi="宋体" w:cs="宋体"/>
          <w:b/>
          <w:bCs/>
          <w:szCs w:val="21"/>
        </w:rPr>
        <w:t>24 定标准则</w:t>
      </w:r>
    </w:p>
    <w:p>
      <w:pPr>
        <w:rPr>
          <w:rFonts w:ascii="宋体" w:hAnsi="宋体" w:cs="宋体"/>
          <w:szCs w:val="21"/>
        </w:rPr>
      </w:pPr>
      <w:r>
        <w:rPr>
          <w:rFonts w:hint="eastAsia" w:ascii="宋体" w:hAnsi="宋体" w:cs="宋体"/>
          <w:szCs w:val="21"/>
        </w:rPr>
        <w:t>24.1.合同将授予其投标能够最大限度地满足招标文件中规定的各项综合评价标准，并能圆满地履行合同的，对招标人最为有利的最优投标人。</w:t>
      </w:r>
    </w:p>
    <w:p>
      <w:pPr>
        <w:rPr>
          <w:rFonts w:ascii="宋体" w:hAnsi="宋体" w:cs="宋体"/>
          <w:szCs w:val="21"/>
        </w:rPr>
      </w:pPr>
      <w:r>
        <w:rPr>
          <w:rFonts w:hint="eastAsia" w:ascii="宋体" w:hAnsi="宋体" w:cs="宋体"/>
          <w:szCs w:val="21"/>
        </w:rPr>
        <w:t>24.2.最低报价的投标并非最终中标的唯一条件。</w:t>
      </w:r>
    </w:p>
    <w:p>
      <w:pPr>
        <w:rPr>
          <w:rFonts w:ascii="宋体" w:hAnsi="宋体" w:cs="宋体"/>
          <w:b/>
          <w:bCs/>
          <w:szCs w:val="21"/>
        </w:rPr>
      </w:pPr>
      <w:r>
        <w:rPr>
          <w:rFonts w:hint="eastAsia" w:ascii="宋体" w:hAnsi="宋体" w:cs="宋体"/>
          <w:b/>
          <w:bCs/>
          <w:szCs w:val="21"/>
        </w:rPr>
        <w:t>25 中标通知</w:t>
      </w:r>
    </w:p>
    <w:p>
      <w:pPr>
        <w:rPr>
          <w:rFonts w:ascii="宋体" w:hAnsi="宋体" w:cs="宋体"/>
          <w:szCs w:val="21"/>
        </w:rPr>
      </w:pPr>
      <w:r>
        <w:rPr>
          <w:rFonts w:hint="eastAsia" w:ascii="宋体" w:hAnsi="宋体" w:cs="宋体"/>
          <w:szCs w:val="21"/>
        </w:rPr>
        <w:t>25.1 确定中标单位后在投标有效期截止前，招标人将以书面形式通知中标的投标人其投标被接受。</w:t>
      </w:r>
    </w:p>
    <w:p>
      <w:pPr>
        <w:rPr>
          <w:rFonts w:ascii="宋体" w:hAnsi="宋体" w:cs="宋体"/>
          <w:szCs w:val="21"/>
        </w:rPr>
      </w:pPr>
      <w:r>
        <w:rPr>
          <w:rFonts w:hint="eastAsia" w:ascii="宋体" w:hAnsi="宋体" w:cs="宋体"/>
          <w:szCs w:val="21"/>
        </w:rPr>
        <w:t>25.2 中标通知书将成为合同的组成部分。</w:t>
      </w:r>
    </w:p>
    <w:p>
      <w:pPr>
        <w:rPr>
          <w:rFonts w:ascii="宋体" w:hAnsi="宋体" w:cs="宋体"/>
          <w:szCs w:val="21"/>
        </w:rPr>
      </w:pPr>
      <w:r>
        <w:rPr>
          <w:rFonts w:hint="eastAsia" w:ascii="宋体" w:hAnsi="宋体" w:cs="宋体"/>
          <w:szCs w:val="21"/>
        </w:rPr>
        <w:t>25.3 招标人在发出《中标通知书》的同时，招标人将中标的结果通知所有未中标的投标人，并退还投标保证金。出具财务证明的投标人不论中标与否，不予以办理退款。</w:t>
      </w:r>
    </w:p>
    <w:p>
      <w:pPr>
        <w:rPr>
          <w:rFonts w:ascii="宋体" w:hAnsi="宋体" w:cs="宋体"/>
          <w:b/>
          <w:bCs/>
          <w:szCs w:val="21"/>
        </w:rPr>
      </w:pPr>
      <w:r>
        <w:rPr>
          <w:rFonts w:hint="eastAsia" w:ascii="宋体" w:hAnsi="宋体" w:cs="宋体"/>
          <w:b/>
          <w:bCs/>
          <w:szCs w:val="21"/>
        </w:rPr>
        <w:t>26 合同的签订</w:t>
      </w:r>
    </w:p>
    <w:p>
      <w:pPr>
        <w:rPr>
          <w:rFonts w:ascii="宋体" w:hAnsi="宋体" w:cs="宋体"/>
          <w:szCs w:val="21"/>
        </w:rPr>
      </w:pPr>
      <w:r>
        <w:rPr>
          <w:rFonts w:hint="eastAsia" w:ascii="宋体" w:hAnsi="宋体" w:cs="宋体"/>
          <w:szCs w:val="21"/>
        </w:rPr>
        <w:t>26.1.中标单位应在10日内完成合同签署并回传给招标方，由法定代表人或授权委托人与招标人签订合同。否则按放弃中标权处理，并没收投标保证金。</w:t>
      </w:r>
    </w:p>
    <w:p>
      <w:pPr>
        <w:rPr>
          <w:rFonts w:ascii="宋体" w:hAnsi="宋体" w:cs="宋体"/>
          <w:szCs w:val="21"/>
        </w:rPr>
      </w:pPr>
      <w:r>
        <w:rPr>
          <w:rFonts w:hint="eastAsia" w:ascii="宋体" w:hAnsi="宋体" w:cs="宋体"/>
          <w:szCs w:val="21"/>
        </w:rPr>
        <w:t>26.2.招标文件、中标方的投标文件及其澄清文件等，均为签订经济合同的依据。</w:t>
      </w:r>
    </w:p>
    <w:p>
      <w:pPr>
        <w:rPr>
          <w:rFonts w:ascii="宋体" w:hAnsi="宋体" w:cs="宋体"/>
          <w:sz w:val="24"/>
        </w:rPr>
      </w:pPr>
    </w:p>
    <w:p>
      <w:pPr>
        <w:rPr>
          <w:rFonts w:ascii="宋体" w:hAnsi="宋体" w:cs="宋体"/>
          <w:b/>
          <w:sz w:val="24"/>
        </w:rPr>
      </w:pPr>
      <w:bookmarkStart w:id="60" w:name="_Toc2574"/>
      <w:bookmarkStart w:id="61" w:name="_Toc30916"/>
      <w:r>
        <w:rPr>
          <w:rFonts w:hint="eastAsia" w:ascii="宋体" w:hAnsi="宋体" w:cs="宋体"/>
          <w:b/>
          <w:sz w:val="24"/>
        </w:rPr>
        <w:t>K、有关本招标文件的任何疑问，可函、电下列联系方式</w:t>
      </w:r>
      <w:bookmarkEnd w:id="60"/>
      <w:bookmarkEnd w:id="61"/>
    </w:p>
    <w:p>
      <w:pPr>
        <w:rPr>
          <w:rFonts w:ascii="宋体" w:hAnsi="宋体" w:cs="宋体"/>
          <w:b/>
          <w:sz w:val="24"/>
        </w:rPr>
      </w:pPr>
      <w:r>
        <w:rPr>
          <w:rFonts w:hint="eastAsia" w:ascii="宋体" w:hAnsi="宋体" w:cs="宋体"/>
          <w:b/>
          <w:sz w:val="24"/>
        </w:rPr>
        <w:t>联系单位：荣盛盟固利新能源科技有限公司</w:t>
      </w:r>
    </w:p>
    <w:p>
      <w:pPr>
        <w:rPr>
          <w:rFonts w:ascii="宋体" w:hAnsi="宋体" w:cs="宋体"/>
          <w:b/>
          <w:sz w:val="24"/>
        </w:rPr>
      </w:pPr>
      <w:r>
        <w:rPr>
          <w:rFonts w:hint="eastAsia" w:ascii="宋体" w:hAnsi="宋体" w:cs="宋体"/>
          <w:b/>
          <w:sz w:val="24"/>
        </w:rPr>
        <w:t>联系地址：北京市昌平区中关村高科技开发区昌平园白浮泉路18号</w:t>
      </w:r>
    </w:p>
    <w:p>
      <w:pPr>
        <w:rPr>
          <w:rFonts w:ascii="宋体" w:hAnsi="宋体" w:cs="宋体"/>
          <w:b/>
          <w:sz w:val="24"/>
        </w:rPr>
      </w:pPr>
      <w:r>
        <w:rPr>
          <w:rFonts w:hint="eastAsia" w:ascii="宋体" w:hAnsi="宋体" w:cs="宋体"/>
          <w:b/>
          <w:sz w:val="24"/>
        </w:rPr>
        <w:t>联系电话：010—89743388-8050</w:t>
      </w:r>
    </w:p>
    <w:p>
      <w:pPr>
        <w:rPr>
          <w:rFonts w:ascii="宋体" w:hAnsi="宋体" w:cs="宋体"/>
          <w:b/>
          <w:sz w:val="24"/>
        </w:rPr>
      </w:pPr>
      <w:r>
        <w:rPr>
          <w:rFonts w:hint="eastAsia" w:ascii="宋体" w:hAnsi="宋体" w:cs="宋体"/>
          <w:b/>
          <w:sz w:val="24"/>
        </w:rPr>
        <w:t>传    真：010--89747404</w:t>
      </w:r>
    </w:p>
    <w:p>
      <w:pPr>
        <w:rPr>
          <w:rFonts w:ascii="宋体" w:hAnsi="宋体" w:cs="宋体"/>
          <w:b/>
          <w:sz w:val="24"/>
        </w:rPr>
        <w:sectPr>
          <w:footerReference r:id="rId6" w:type="default"/>
          <w:pgSz w:w="11906" w:h="16838"/>
          <w:pgMar w:top="1440" w:right="1800" w:bottom="1440" w:left="1800" w:header="567" w:footer="567" w:gutter="0"/>
          <w:pgNumType w:fmt="numberInDash"/>
          <w:cols w:space="720" w:num="1"/>
          <w:docGrid w:type="lines" w:linePitch="383" w:charSpace="0"/>
        </w:sectPr>
      </w:pPr>
      <w:r>
        <w:rPr>
          <w:rFonts w:hint="eastAsia" w:ascii="宋体" w:hAnsi="宋体" w:cs="宋体"/>
          <w:b/>
          <w:sz w:val="24"/>
        </w:rPr>
        <w:t xml:space="preserve">  联 系 人：李  顺    手机 13821278165  Email：</w:t>
      </w:r>
      <w:r>
        <w:fldChar w:fldCharType="begin"/>
      </w:r>
      <w:r>
        <w:instrText xml:space="preserve">HYPERLINK "mailto:lishun@mgldl.com.cn" </w:instrText>
      </w:r>
      <w:r>
        <w:fldChar w:fldCharType="separate"/>
      </w:r>
      <w:r>
        <w:rPr>
          <w:rStyle w:val="26"/>
          <w:rFonts w:hint="eastAsia" w:ascii="宋体" w:hAnsi="宋体" w:cs="宋体"/>
          <w:b/>
          <w:sz w:val="24"/>
        </w:rPr>
        <w:t>lishun@mgldl.com.cn</w:t>
      </w:r>
      <w:r>
        <w:fldChar w:fldCharType="end"/>
      </w:r>
      <w:r>
        <w:rPr>
          <w:rFonts w:hint="eastAsia" w:ascii="宋体" w:hAnsi="宋体" w:cs="宋体"/>
          <w:b/>
          <w:sz w:val="24"/>
        </w:rPr>
        <w:t xml:space="preserve">   </w:t>
      </w:r>
    </w:p>
    <w:p>
      <w:pPr>
        <w:jc w:val="center"/>
        <w:rPr>
          <w:rFonts w:ascii="宋体" w:hAnsi="宋体" w:cs="宋体"/>
          <w:b/>
          <w:sz w:val="32"/>
          <w:szCs w:val="32"/>
        </w:rPr>
      </w:pPr>
      <w:r>
        <w:rPr>
          <w:rFonts w:hint="eastAsia" w:ascii="宋体" w:hAnsi="宋体" w:cs="宋体"/>
          <w:b/>
          <w:sz w:val="32"/>
          <w:szCs w:val="32"/>
        </w:rPr>
        <w:t>招标说明</w:t>
      </w:r>
    </w:p>
    <w:p>
      <w:pPr>
        <w:pStyle w:val="40"/>
        <w:numPr>
          <w:ilvl w:val="0"/>
          <w:numId w:val="5"/>
        </w:numPr>
        <w:ind w:firstLineChars="0"/>
        <w:rPr>
          <w:rFonts w:ascii="宋体" w:hAnsi="宋体" w:cs="宋体"/>
          <w:b/>
          <w:sz w:val="24"/>
        </w:rPr>
      </w:pPr>
      <w:r>
        <w:rPr>
          <w:rFonts w:hint="eastAsia" w:ascii="宋体" w:hAnsi="宋体" w:cs="宋体"/>
          <w:b/>
          <w:sz w:val="24"/>
        </w:rPr>
        <w:t>开标</w:t>
      </w:r>
      <w:r>
        <w:rPr>
          <w:rFonts w:hint="eastAsia" w:ascii="宋体" w:hAnsi="宋体" w:cs="宋体"/>
          <w:b/>
          <w:sz w:val="24"/>
          <w:lang w:val="en-US" w:eastAsia="zh-CN"/>
        </w:rPr>
        <w:t>形式为</w:t>
      </w:r>
      <w:r>
        <w:rPr>
          <w:rFonts w:hint="eastAsia" w:ascii="宋体" w:hAnsi="宋体" w:cs="宋体"/>
          <w:b/>
          <w:sz w:val="24"/>
        </w:rPr>
        <w:t>现场</w:t>
      </w:r>
      <w:r>
        <w:rPr>
          <w:rFonts w:hint="eastAsia" w:ascii="宋体" w:hAnsi="宋体" w:cs="宋体"/>
          <w:b/>
          <w:sz w:val="24"/>
          <w:lang w:val="en-US" w:eastAsia="zh-CN"/>
        </w:rPr>
        <w:t>开标</w:t>
      </w:r>
      <w:r>
        <w:rPr>
          <w:rFonts w:hint="eastAsia" w:ascii="宋体" w:hAnsi="宋体" w:cs="宋体"/>
          <w:b/>
          <w:sz w:val="24"/>
        </w:rPr>
        <w:t>，要求投标方销售总监</w:t>
      </w:r>
      <w:r>
        <w:rPr>
          <w:rFonts w:hint="eastAsia" w:ascii="宋体" w:hAnsi="宋体" w:cs="宋体"/>
          <w:b/>
          <w:sz w:val="24"/>
          <w:lang w:val="en-US" w:eastAsia="zh-CN"/>
        </w:rPr>
        <w:t>或</w:t>
      </w:r>
      <w:r>
        <w:rPr>
          <w:rFonts w:hint="eastAsia" w:ascii="宋体" w:hAnsi="宋体" w:cs="宋体"/>
          <w:b/>
          <w:sz w:val="24"/>
        </w:rPr>
        <w:t>副总以上人员到场参加。</w:t>
      </w:r>
    </w:p>
    <w:p>
      <w:pPr>
        <w:pStyle w:val="40"/>
        <w:numPr>
          <w:ilvl w:val="0"/>
          <w:numId w:val="5"/>
        </w:numPr>
        <w:ind w:firstLineChars="0"/>
        <w:rPr>
          <w:rFonts w:ascii="宋体" w:hAnsi="宋体" w:cs="宋体"/>
          <w:b/>
          <w:sz w:val="24"/>
        </w:rPr>
      </w:pPr>
      <w:r>
        <w:rPr>
          <w:rFonts w:hint="eastAsia" w:ascii="宋体" w:hAnsi="宋体" w:cs="宋体"/>
          <w:b/>
          <w:sz w:val="24"/>
        </w:rPr>
        <w:t>现场会隐藏投标方名称进行价格公示，价格最高投标方首轮可能会被直接淘汰。</w:t>
      </w:r>
    </w:p>
    <w:p>
      <w:pPr>
        <w:pStyle w:val="40"/>
        <w:numPr>
          <w:ilvl w:val="0"/>
          <w:numId w:val="5"/>
        </w:numPr>
        <w:ind w:firstLineChars="0"/>
        <w:rPr>
          <w:rFonts w:ascii="宋体" w:hAnsi="宋体" w:cs="宋体"/>
          <w:b/>
          <w:sz w:val="24"/>
        </w:rPr>
      </w:pPr>
      <w:r>
        <w:rPr>
          <w:rFonts w:hint="eastAsia" w:ascii="宋体" w:hAnsi="宋体" w:cs="宋体"/>
          <w:b/>
          <w:sz w:val="24"/>
        </w:rPr>
        <w:t>付款方式月结</w:t>
      </w:r>
      <w:r>
        <w:rPr>
          <w:rFonts w:hint="eastAsia" w:ascii="宋体" w:hAnsi="宋体" w:cs="宋体"/>
          <w:b/>
          <w:sz w:val="24"/>
          <w:lang w:val="en-US" w:eastAsia="zh-CN"/>
        </w:rPr>
        <w:t>180</w:t>
      </w:r>
      <w:r>
        <w:rPr>
          <w:rFonts w:hint="eastAsia" w:ascii="宋体" w:hAnsi="宋体" w:cs="宋体"/>
          <w:b/>
          <w:sz w:val="24"/>
        </w:rPr>
        <w:t>天，</w:t>
      </w:r>
      <w:r>
        <w:rPr>
          <w:rFonts w:hint="eastAsia" w:ascii="宋体" w:hAnsi="宋体" w:cs="宋体"/>
          <w:b/>
          <w:sz w:val="24"/>
          <w:lang w:val="en-US" w:eastAsia="zh-CN"/>
        </w:rPr>
        <w:t>电汇或银承；</w:t>
      </w:r>
      <w:r>
        <w:rPr>
          <w:rFonts w:hint="eastAsia" w:ascii="宋体" w:hAnsi="宋体" w:cs="宋体"/>
          <w:b/>
          <w:sz w:val="24"/>
        </w:rPr>
        <w:t>同等价格条件</w:t>
      </w:r>
      <w:r>
        <w:rPr>
          <w:rFonts w:hint="eastAsia" w:ascii="宋体" w:hAnsi="宋体" w:cs="宋体"/>
          <w:b/>
          <w:sz w:val="24"/>
          <w:lang w:val="en-US" w:eastAsia="zh-CN"/>
        </w:rPr>
        <w:t>账期长的厂家</w:t>
      </w:r>
      <w:r>
        <w:rPr>
          <w:rFonts w:hint="eastAsia" w:ascii="宋体" w:hAnsi="宋体" w:cs="宋体"/>
          <w:b/>
          <w:sz w:val="24"/>
        </w:rPr>
        <w:t>会优先考虑。</w:t>
      </w:r>
    </w:p>
    <w:p>
      <w:pPr>
        <w:pStyle w:val="40"/>
        <w:numPr>
          <w:ilvl w:val="0"/>
          <w:numId w:val="5"/>
        </w:numPr>
        <w:ind w:firstLineChars="0"/>
        <w:rPr>
          <w:rFonts w:ascii="宋体" w:hAnsi="宋体" w:cs="宋体"/>
          <w:b/>
          <w:sz w:val="24"/>
        </w:rPr>
      </w:pPr>
      <w:r>
        <w:rPr>
          <w:rFonts w:hint="eastAsia" w:ascii="宋体" w:hAnsi="宋体" w:cs="宋体"/>
          <w:b/>
          <w:sz w:val="24"/>
        </w:rPr>
        <w:t>中标方签订框架协议，首选供方采购量不低于我司总需求的60%-80%；第二供方采购量不低于我司总需求的20%-40%。</w:t>
      </w:r>
    </w:p>
    <w:p>
      <w:pPr>
        <w:pStyle w:val="40"/>
        <w:numPr>
          <w:ilvl w:val="0"/>
          <w:numId w:val="5"/>
        </w:numPr>
        <w:ind w:firstLineChars="0"/>
        <w:rPr>
          <w:rFonts w:ascii="宋体" w:hAnsi="宋体" w:cs="宋体"/>
          <w:b/>
          <w:sz w:val="24"/>
        </w:rPr>
      </w:pPr>
      <w:r>
        <w:rPr>
          <w:rFonts w:hint="eastAsia" w:ascii="宋体" w:hAnsi="宋体" w:cs="宋体"/>
          <w:b/>
          <w:sz w:val="24"/>
        </w:rPr>
        <w:t>初次合作的新供方中标后，我司保证在6-7个月内完成测试和引入，引入后签订框架协议。</w:t>
      </w:r>
    </w:p>
    <w:p>
      <w:pPr>
        <w:pStyle w:val="40"/>
        <w:numPr>
          <w:ilvl w:val="0"/>
          <w:numId w:val="5"/>
        </w:numPr>
        <w:ind w:firstLineChars="0"/>
        <w:rPr>
          <w:rFonts w:ascii="宋体" w:hAnsi="宋体" w:cs="宋体"/>
          <w:b/>
          <w:color w:val="000000" w:themeColor="text1"/>
          <w:sz w:val="24"/>
          <w:highlight w:val="red"/>
        </w:rPr>
      </w:pPr>
      <w:r>
        <w:rPr>
          <w:rFonts w:hint="eastAsia" w:ascii="宋体" w:hAnsi="宋体" w:cs="宋体"/>
          <w:b/>
          <w:color w:val="000000" w:themeColor="text1"/>
          <w:sz w:val="24"/>
          <w:highlight w:val="red"/>
        </w:rPr>
        <w:t>每种型号的三元必须有详细的</w:t>
      </w:r>
      <w:r>
        <w:rPr>
          <w:rFonts w:hint="eastAsia" w:ascii="宋体" w:hAnsi="宋体" w:cs="宋体"/>
          <w:b/>
          <w:color w:val="000000" w:themeColor="text1"/>
          <w:sz w:val="24"/>
          <w:highlight w:val="red"/>
          <w:lang w:eastAsia="zh-CN"/>
        </w:rPr>
        <w:t>“</w:t>
      </w:r>
      <w:r>
        <w:rPr>
          <w:rFonts w:hint="eastAsia" w:ascii="宋体" w:hAnsi="宋体" w:cs="宋体"/>
          <w:b/>
          <w:color w:val="000000" w:themeColor="text1"/>
          <w:sz w:val="24"/>
          <w:highlight w:val="red"/>
        </w:rPr>
        <w:t>固定公式</w:t>
      </w:r>
      <w:r>
        <w:rPr>
          <w:rFonts w:hint="eastAsia" w:ascii="宋体" w:hAnsi="宋体" w:cs="宋体"/>
          <w:b/>
          <w:color w:val="000000" w:themeColor="text1"/>
          <w:sz w:val="24"/>
          <w:highlight w:val="red"/>
          <w:lang w:eastAsia="zh-CN"/>
        </w:rPr>
        <w:t>”</w:t>
      </w:r>
      <w:r>
        <w:rPr>
          <w:rFonts w:hint="eastAsia" w:ascii="宋体" w:hAnsi="宋体" w:cs="宋体"/>
          <w:b/>
          <w:color w:val="000000" w:themeColor="text1"/>
          <w:sz w:val="24"/>
          <w:highlight w:val="red"/>
        </w:rPr>
        <w:t>报价，原材料取数依据按下表A-J分别取数报价，最后以10次报价的平均价格作为本次投标最终报价。须同时将A-J的价格和最终平均价填写到报价一览表中（见下表</w:t>
      </w:r>
      <w:r>
        <w:rPr>
          <w:rFonts w:hint="eastAsia" w:ascii="宋体" w:hAnsi="宋体" w:cs="宋体"/>
          <w:b/>
          <w:color w:val="000000" w:themeColor="text1"/>
          <w:sz w:val="24"/>
          <w:highlight w:val="red"/>
          <w:lang w:val="en-US" w:eastAsia="zh-CN"/>
        </w:rPr>
        <w:t>和附件</w:t>
      </w:r>
      <w:r>
        <w:rPr>
          <w:rFonts w:hint="eastAsia" w:ascii="宋体" w:hAnsi="宋体" w:cs="宋体"/>
          <w:b/>
          <w:color w:val="000000" w:themeColor="text1"/>
          <w:sz w:val="24"/>
          <w:highlight w:val="red"/>
        </w:rPr>
        <w:t>）。</w:t>
      </w:r>
    </w:p>
    <w:p>
      <w:pPr>
        <w:pStyle w:val="40"/>
        <w:numPr>
          <w:ilvl w:val="0"/>
          <w:numId w:val="5"/>
        </w:numPr>
        <w:ind w:firstLineChars="0"/>
        <w:rPr>
          <w:rFonts w:ascii="宋体" w:hAnsi="宋体" w:cs="宋体"/>
          <w:b/>
          <w:color w:val="000000" w:themeColor="text1"/>
          <w:sz w:val="24"/>
          <w:highlight w:val="red"/>
        </w:rPr>
      </w:pPr>
      <w:r>
        <w:rPr>
          <w:rFonts w:hint="eastAsia" w:ascii="宋体" w:hAnsi="宋体" w:cs="宋体"/>
          <w:b/>
          <w:color w:val="000000" w:themeColor="text1"/>
          <w:sz w:val="24"/>
          <w:highlight w:val="red"/>
          <w:lang w:val="en-US" w:eastAsia="zh-CN"/>
        </w:rPr>
        <w:t>报价一览表里报价时请备注xx项目xx产品的报价公式。</w:t>
      </w:r>
    </w:p>
    <w:p>
      <w:pPr>
        <w:overflowPunct w:val="0"/>
        <w:spacing w:line="360" w:lineRule="auto"/>
        <w:jc w:val="center"/>
        <w:outlineLvl w:val="0"/>
        <w:rPr>
          <w:rFonts w:ascii="宋体" w:hAnsi="宋体" w:cs="宋体"/>
          <w:sz w:val="24"/>
        </w:rPr>
      </w:pPr>
    </w:p>
    <w:tbl>
      <w:tblPr>
        <w:tblStyle w:val="23"/>
        <w:tblW w:w="8280" w:type="dxa"/>
        <w:tblInd w:w="0" w:type="dxa"/>
        <w:shd w:val="clear" w:color="auto" w:fill="auto"/>
        <w:tblLayout w:type="fixed"/>
        <w:tblCellMar>
          <w:top w:w="0" w:type="dxa"/>
          <w:left w:w="0" w:type="dxa"/>
          <w:bottom w:w="0" w:type="dxa"/>
          <w:right w:w="0" w:type="dxa"/>
        </w:tblCellMar>
      </w:tblPr>
      <w:tblGrid>
        <w:gridCol w:w="818"/>
        <w:gridCol w:w="1420"/>
        <w:gridCol w:w="1436"/>
        <w:gridCol w:w="1474"/>
        <w:gridCol w:w="1624"/>
        <w:gridCol w:w="1508"/>
      </w:tblGrid>
      <w:tr>
        <w:tblPrEx>
          <w:tblCellMar>
            <w:top w:w="0" w:type="dxa"/>
            <w:left w:w="0" w:type="dxa"/>
            <w:bottom w:w="0" w:type="dxa"/>
            <w:right w:w="0" w:type="dxa"/>
          </w:tblCellMar>
        </w:tblPrEx>
        <w:trPr>
          <w:trHeight w:val="420" w:hRule="atLeast"/>
        </w:trPr>
        <w:tc>
          <w:tcPr>
            <w:tcW w:w="8280"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不同月份的材料价格</w:t>
            </w:r>
          </w:p>
        </w:tc>
      </w:tr>
      <w:tr>
        <w:tblPrEx>
          <w:tblCellMar>
            <w:top w:w="0" w:type="dxa"/>
            <w:left w:w="0" w:type="dxa"/>
            <w:bottom w:w="0" w:type="dxa"/>
            <w:right w:w="0" w:type="dxa"/>
          </w:tblCellMar>
        </w:tblPrEx>
        <w:trPr>
          <w:trHeight w:val="8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日期</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硫酸镍</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（单位：元/kg）</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硫酸钴</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（单位：元/kg）</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硫酸锰</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（单位：元/kg）</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碳酸锂</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（单位：元/kg）</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氢氧化锂</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（单位：元/kg）</w:t>
            </w:r>
          </w:p>
        </w:tc>
      </w:tr>
      <w:tr>
        <w:tblPrEx>
          <w:tblCellMar>
            <w:top w:w="0" w:type="dxa"/>
            <w:left w:w="0" w:type="dxa"/>
            <w:bottom w:w="0" w:type="dxa"/>
            <w:right w:w="0" w:type="dxa"/>
          </w:tblCellMar>
        </w:tblPrEx>
        <w:trPr>
          <w:trHeight w:val="3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A月</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24.78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48.44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5.90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49.07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54.50 </w:t>
            </w:r>
          </w:p>
        </w:tc>
      </w:tr>
      <w:tr>
        <w:tblPrEx>
          <w:tblCellMar>
            <w:top w:w="0" w:type="dxa"/>
            <w:left w:w="0" w:type="dxa"/>
            <w:bottom w:w="0" w:type="dxa"/>
            <w:right w:w="0" w:type="dxa"/>
          </w:tblCellMar>
        </w:tblPrEx>
        <w:trPr>
          <w:trHeight w:val="3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B月</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24.75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55.03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5.80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48.95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54.97 </w:t>
            </w:r>
          </w:p>
        </w:tc>
      </w:tr>
      <w:tr>
        <w:tblPrEx>
          <w:tblCellMar>
            <w:top w:w="0" w:type="dxa"/>
            <w:left w:w="0" w:type="dxa"/>
            <w:bottom w:w="0" w:type="dxa"/>
            <w:right w:w="0" w:type="dxa"/>
          </w:tblCellMar>
        </w:tblPrEx>
        <w:trPr>
          <w:trHeight w:val="3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C月</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23.53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51.64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5.98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48.52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55.91 </w:t>
            </w:r>
          </w:p>
        </w:tc>
      </w:tr>
      <w:tr>
        <w:tblPrEx>
          <w:tblCellMar>
            <w:top w:w="0" w:type="dxa"/>
            <w:left w:w="0" w:type="dxa"/>
            <w:bottom w:w="0" w:type="dxa"/>
            <w:right w:w="0" w:type="dxa"/>
          </w:tblCellMar>
        </w:tblPrEx>
        <w:trPr>
          <w:trHeight w:val="3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D月</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23.47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45.60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5.95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46.24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56.00 </w:t>
            </w:r>
          </w:p>
        </w:tc>
      </w:tr>
      <w:tr>
        <w:tblPrEx>
          <w:tblCellMar>
            <w:top w:w="0" w:type="dxa"/>
            <w:left w:w="0" w:type="dxa"/>
            <w:bottom w:w="0" w:type="dxa"/>
            <w:right w:w="0" w:type="dxa"/>
          </w:tblCellMar>
        </w:tblPrEx>
        <w:trPr>
          <w:trHeight w:val="3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E月</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23.38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46.32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5.78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43.61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55.67 </w:t>
            </w:r>
          </w:p>
        </w:tc>
      </w:tr>
      <w:tr>
        <w:tblPrEx>
          <w:tblCellMar>
            <w:top w:w="0" w:type="dxa"/>
            <w:left w:w="0" w:type="dxa"/>
            <w:bottom w:w="0" w:type="dxa"/>
            <w:right w:w="0" w:type="dxa"/>
          </w:tblCellMar>
        </w:tblPrEx>
        <w:trPr>
          <w:trHeight w:val="3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F月</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23.08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46.49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5.62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41.67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53.58 </w:t>
            </w:r>
          </w:p>
        </w:tc>
      </w:tr>
      <w:tr>
        <w:tblPrEx>
          <w:shd w:val="clear" w:color="auto" w:fill="auto"/>
          <w:tblCellMar>
            <w:top w:w="0" w:type="dxa"/>
            <w:left w:w="0" w:type="dxa"/>
            <w:bottom w:w="0" w:type="dxa"/>
            <w:right w:w="0" w:type="dxa"/>
          </w:tblCellMar>
        </w:tblPrEx>
        <w:trPr>
          <w:trHeight w:val="3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G月</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23.67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46.70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5.62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39.97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49.50 </w:t>
            </w:r>
          </w:p>
        </w:tc>
      </w:tr>
      <w:tr>
        <w:tblPrEx>
          <w:tblCellMar>
            <w:top w:w="0" w:type="dxa"/>
            <w:left w:w="0" w:type="dxa"/>
            <w:bottom w:w="0" w:type="dxa"/>
            <w:right w:w="0" w:type="dxa"/>
          </w:tblCellMar>
        </w:tblPrEx>
        <w:trPr>
          <w:trHeight w:val="3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H月</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25.52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55.19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5.86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39.82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49.00 </w:t>
            </w:r>
          </w:p>
        </w:tc>
      </w:tr>
      <w:tr>
        <w:tblPrEx>
          <w:tblCellMar>
            <w:top w:w="0" w:type="dxa"/>
            <w:left w:w="0" w:type="dxa"/>
            <w:bottom w:w="0" w:type="dxa"/>
            <w:right w:w="0" w:type="dxa"/>
          </w:tblCellMar>
        </w:tblPrEx>
        <w:trPr>
          <w:trHeight w:val="3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I月</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27.49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54.86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5.90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40.10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49.00 </w:t>
            </w:r>
          </w:p>
        </w:tc>
      </w:tr>
      <w:tr>
        <w:tblPrEx>
          <w:tblCellMar>
            <w:top w:w="0" w:type="dxa"/>
            <w:left w:w="0" w:type="dxa"/>
            <w:bottom w:w="0" w:type="dxa"/>
            <w:right w:w="0" w:type="dxa"/>
          </w:tblCellMar>
        </w:tblPrEx>
        <w:trPr>
          <w:trHeight w:val="3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J月</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27.40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54.50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5.90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40.66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48.69 </w:t>
            </w:r>
          </w:p>
        </w:tc>
      </w:tr>
    </w:tbl>
    <w:p>
      <w:pPr>
        <w:overflowPunct w:val="0"/>
        <w:spacing w:line="360" w:lineRule="auto"/>
        <w:jc w:val="both"/>
        <w:outlineLvl w:val="0"/>
        <w:rPr>
          <w:rFonts w:hint="eastAsia" w:eastAsia="宋体"/>
          <w:b/>
          <w:spacing w:val="4"/>
          <w:sz w:val="18"/>
          <w:lang w:val="en-US" w:eastAsia="zh-CN"/>
        </w:rPr>
      </w:pPr>
      <w:r>
        <w:rPr>
          <w:rFonts w:hint="eastAsia"/>
          <w:b/>
          <w:spacing w:val="4"/>
          <w:sz w:val="18"/>
          <w:lang w:val="en-US" w:eastAsia="zh-CN"/>
        </w:rPr>
        <w:t>如XXX产品的报价公式：硫酸镍*系数1+硫酸钴*系数2+硫酸锰*系数3+碳酸锂*系数4+加工费</w:t>
      </w:r>
    </w:p>
    <w:p>
      <w:pPr>
        <w:overflowPunct w:val="0"/>
        <w:spacing w:line="360" w:lineRule="auto"/>
        <w:jc w:val="both"/>
        <w:outlineLvl w:val="0"/>
        <w:rPr>
          <w:b/>
          <w:spacing w:val="4"/>
          <w:sz w:val="18"/>
        </w:rPr>
      </w:pPr>
    </w:p>
    <w:p>
      <w:pPr>
        <w:overflowPunct w:val="0"/>
        <w:spacing w:line="360" w:lineRule="auto"/>
        <w:jc w:val="center"/>
        <w:outlineLvl w:val="0"/>
        <w:rPr>
          <w:b/>
          <w:spacing w:val="4"/>
          <w:sz w:val="18"/>
        </w:rPr>
      </w:pPr>
    </w:p>
    <w:p>
      <w:pPr>
        <w:overflowPunct w:val="0"/>
        <w:spacing w:line="360" w:lineRule="auto"/>
        <w:jc w:val="both"/>
        <w:outlineLvl w:val="0"/>
        <w:rPr>
          <w:b/>
          <w:spacing w:val="4"/>
          <w:sz w:val="18"/>
        </w:rPr>
      </w:pPr>
    </w:p>
    <w:p>
      <w:pPr>
        <w:overflowPunct w:val="0"/>
        <w:spacing w:line="360" w:lineRule="auto"/>
        <w:jc w:val="both"/>
        <w:outlineLvl w:val="0"/>
        <w:rPr>
          <w:b/>
          <w:spacing w:val="4"/>
          <w:sz w:val="18"/>
        </w:rPr>
      </w:pPr>
    </w:p>
    <w:p>
      <w:pPr>
        <w:overflowPunct w:val="0"/>
        <w:spacing w:line="360" w:lineRule="auto"/>
        <w:jc w:val="center"/>
        <w:outlineLvl w:val="0"/>
        <w:rPr>
          <w:rStyle w:val="36"/>
          <w:sz w:val="28"/>
          <w:szCs w:val="28"/>
        </w:rPr>
      </w:pPr>
      <w:r>
        <w:rPr>
          <w:rStyle w:val="36"/>
          <w:rFonts w:hint="eastAsia"/>
          <w:sz w:val="28"/>
          <w:szCs w:val="28"/>
        </w:rPr>
        <w:t>第二章 投标格式文件</w:t>
      </w:r>
    </w:p>
    <w:p>
      <w:pPr>
        <w:rPr>
          <w:rFonts w:ascii="宋体" w:hAnsi="宋体" w:cs="宋体"/>
        </w:rPr>
      </w:pPr>
    </w:p>
    <w:p>
      <w:pPr>
        <w:jc w:val="center"/>
        <w:rPr>
          <w:rFonts w:ascii="宋体" w:hAnsi="宋体" w:cs="宋体"/>
          <w:szCs w:val="21"/>
        </w:rPr>
      </w:pPr>
      <w:r>
        <w:rPr>
          <w:rFonts w:hint="eastAsia" w:ascii="宋体" w:hAnsi="宋体" w:cs="宋体"/>
          <w:szCs w:val="21"/>
        </w:rPr>
        <w:t>目   录</w:t>
      </w:r>
    </w:p>
    <w:p>
      <w:pPr>
        <w:jc w:val="center"/>
        <w:rPr>
          <w:rFonts w:ascii="宋体" w:hAnsi="宋体" w:cs="宋体"/>
          <w:szCs w:val="21"/>
        </w:rPr>
      </w:pPr>
    </w:p>
    <w:p>
      <w:pPr>
        <w:rPr>
          <w:rFonts w:ascii="宋体" w:hAnsi="宋体" w:cs="宋体"/>
          <w:szCs w:val="21"/>
        </w:rPr>
      </w:pPr>
      <w:r>
        <w:rPr>
          <w:rFonts w:hint="eastAsia" w:ascii="宋体" w:hAnsi="宋体" w:cs="宋体"/>
          <w:szCs w:val="21"/>
        </w:rPr>
        <w:t>1.投标函（附件1）</w:t>
      </w:r>
    </w:p>
    <w:p>
      <w:pPr>
        <w:rPr>
          <w:rFonts w:ascii="宋体" w:hAnsi="宋体" w:cs="宋体"/>
          <w:szCs w:val="21"/>
        </w:rPr>
      </w:pPr>
      <w:r>
        <w:rPr>
          <w:rFonts w:hint="eastAsia" w:ascii="宋体" w:hAnsi="宋体" w:cs="宋体"/>
          <w:szCs w:val="21"/>
        </w:rPr>
        <w:t>2.法定代表人授权委托书（附件2）</w:t>
      </w:r>
    </w:p>
    <w:p>
      <w:pPr>
        <w:rPr>
          <w:rFonts w:ascii="宋体" w:hAnsi="宋体" w:cs="宋体"/>
          <w:szCs w:val="21"/>
        </w:rPr>
      </w:pPr>
      <w:r>
        <w:rPr>
          <w:rFonts w:hint="eastAsia" w:ascii="宋体" w:hAnsi="宋体" w:cs="宋体"/>
          <w:szCs w:val="21"/>
        </w:rPr>
        <w:t>3.投标方信息表（附件3）</w:t>
      </w:r>
    </w:p>
    <w:p>
      <w:pPr>
        <w:rPr>
          <w:rFonts w:ascii="宋体" w:hAnsi="宋体" w:cs="宋体"/>
          <w:szCs w:val="21"/>
        </w:rPr>
      </w:pPr>
      <w:r>
        <w:rPr>
          <w:rFonts w:hint="eastAsia" w:ascii="宋体" w:hAnsi="宋体" w:cs="宋体"/>
          <w:szCs w:val="21"/>
        </w:rPr>
        <w:t>4.技术规格偏离表（附件4）</w:t>
      </w:r>
    </w:p>
    <w:p>
      <w:pPr>
        <w:rPr>
          <w:rFonts w:ascii="宋体" w:hAnsi="宋体" w:cs="宋体"/>
          <w:szCs w:val="21"/>
        </w:rPr>
      </w:pPr>
      <w:r>
        <w:rPr>
          <w:rFonts w:hint="eastAsia" w:ascii="宋体" w:hAnsi="宋体" w:cs="宋体"/>
          <w:szCs w:val="21"/>
        </w:rPr>
        <w:t>5.报价一览表（附件5）</w:t>
      </w:r>
    </w:p>
    <w:p>
      <w:pPr>
        <w:rPr>
          <w:rFonts w:ascii="宋体" w:hAnsi="宋体" w:cs="宋体"/>
          <w:szCs w:val="21"/>
        </w:rPr>
      </w:pPr>
      <w:r>
        <w:rPr>
          <w:rFonts w:hint="eastAsia" w:ascii="宋体" w:hAnsi="宋体" w:cs="宋体"/>
          <w:szCs w:val="21"/>
        </w:rPr>
        <w:t>6.报价明细表（附件6）</w:t>
      </w:r>
    </w:p>
    <w:p>
      <w:pPr>
        <w:rPr>
          <w:rFonts w:ascii="宋体" w:hAnsi="宋体" w:cs="宋体"/>
          <w:szCs w:val="21"/>
        </w:rPr>
      </w:pPr>
      <w:r>
        <w:rPr>
          <w:rFonts w:hint="eastAsia" w:ascii="宋体" w:hAnsi="宋体" w:cs="宋体"/>
          <w:szCs w:val="21"/>
        </w:rPr>
        <w:t>7.合同条款偏离表（附件7）</w:t>
      </w:r>
    </w:p>
    <w:p>
      <w:pPr>
        <w:rPr>
          <w:rFonts w:ascii="宋体" w:hAnsi="宋体" w:cs="宋体"/>
          <w:szCs w:val="21"/>
        </w:rPr>
      </w:pPr>
      <w:r>
        <w:rPr>
          <w:rFonts w:hint="eastAsia" w:ascii="宋体" w:hAnsi="宋体" w:cs="宋体"/>
          <w:szCs w:val="21"/>
        </w:rPr>
        <w:t>8.供应商质量基本要求偏离表（附件8 ）</w:t>
      </w:r>
    </w:p>
    <w:p>
      <w:pPr>
        <w:rPr>
          <w:rFonts w:ascii="宋体" w:hAnsi="宋体" w:cs="宋体"/>
          <w:szCs w:val="21"/>
        </w:rPr>
      </w:pPr>
    </w:p>
    <w:p>
      <w:pPr>
        <w:rPr>
          <w:rFonts w:ascii="宋体" w:hAnsi="宋体" w:cs="宋体"/>
          <w:szCs w:val="21"/>
        </w:rPr>
      </w:pPr>
      <w:r>
        <w:rPr>
          <w:rFonts w:hint="eastAsia" w:ascii="宋体" w:hAnsi="宋体" w:cs="宋体"/>
          <w:szCs w:val="21"/>
        </w:rPr>
        <w:t>具体见附件</w:t>
      </w:r>
    </w:p>
    <w:p>
      <w:pPr>
        <w:overflowPunct w:val="0"/>
        <w:spacing w:line="360" w:lineRule="auto"/>
        <w:jc w:val="center"/>
        <w:outlineLvl w:val="0"/>
        <w:rPr>
          <w:rStyle w:val="36"/>
          <w:sz w:val="28"/>
          <w:szCs w:val="28"/>
        </w:rPr>
      </w:pPr>
      <w:r>
        <w:rPr>
          <w:b/>
          <w:spacing w:val="4"/>
          <w:sz w:val="18"/>
        </w:rPr>
        <w:br w:type="page"/>
      </w:r>
      <w:r>
        <w:rPr>
          <w:rStyle w:val="36"/>
          <w:sz w:val="28"/>
          <w:szCs w:val="28"/>
        </w:rPr>
        <w:t>第</w:t>
      </w:r>
      <w:r>
        <w:rPr>
          <w:rStyle w:val="36"/>
          <w:rFonts w:hint="eastAsia"/>
          <w:sz w:val="28"/>
          <w:szCs w:val="28"/>
        </w:rPr>
        <w:t>三</w:t>
      </w:r>
      <w:r>
        <w:rPr>
          <w:rStyle w:val="36"/>
          <w:sz w:val="28"/>
          <w:szCs w:val="28"/>
        </w:rPr>
        <w:t>章</w:t>
      </w:r>
      <w:r>
        <w:rPr>
          <w:rStyle w:val="36"/>
          <w:rFonts w:hint="eastAsia"/>
          <w:sz w:val="28"/>
          <w:szCs w:val="28"/>
        </w:rPr>
        <w:t xml:space="preserve"> 招标技术要求</w:t>
      </w:r>
    </w:p>
    <w:p>
      <w:pPr>
        <w:overflowPunct w:val="0"/>
        <w:spacing w:line="360" w:lineRule="auto"/>
        <w:outlineLvl w:val="0"/>
        <w:rPr>
          <w:kern w:val="0"/>
          <w:sz w:val="24"/>
          <w:szCs w:val="20"/>
        </w:rPr>
      </w:pPr>
    </w:p>
    <w:tbl>
      <w:tblPr>
        <w:tblStyle w:val="23"/>
        <w:tblW w:w="11052" w:type="dxa"/>
        <w:jc w:val="center"/>
        <w:tblLayout w:type="fixed"/>
        <w:tblCellMar>
          <w:top w:w="0" w:type="dxa"/>
          <w:left w:w="108" w:type="dxa"/>
          <w:bottom w:w="0" w:type="dxa"/>
          <w:right w:w="108" w:type="dxa"/>
        </w:tblCellMar>
      </w:tblPr>
      <w:tblGrid>
        <w:gridCol w:w="1809"/>
        <w:gridCol w:w="1134"/>
        <w:gridCol w:w="1134"/>
        <w:gridCol w:w="1801"/>
        <w:gridCol w:w="1743"/>
        <w:gridCol w:w="1701"/>
        <w:gridCol w:w="1730"/>
      </w:tblGrid>
      <w:tr>
        <w:tblPrEx>
          <w:tblCellMar>
            <w:top w:w="0" w:type="dxa"/>
            <w:left w:w="108" w:type="dxa"/>
            <w:bottom w:w="0" w:type="dxa"/>
            <w:right w:w="108" w:type="dxa"/>
          </w:tblCellMar>
        </w:tblPrEx>
        <w:trPr>
          <w:trHeight w:val="835" w:hRule="atLeast"/>
          <w:jc w:val="center"/>
        </w:trPr>
        <w:tc>
          <w:tcPr>
            <w:tcW w:w="1105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三元（正极）</w:t>
            </w:r>
          </w:p>
        </w:tc>
      </w:tr>
      <w:tr>
        <w:tblPrEx>
          <w:tblCellMar>
            <w:top w:w="0" w:type="dxa"/>
            <w:left w:w="108" w:type="dxa"/>
            <w:bottom w:w="0" w:type="dxa"/>
            <w:right w:w="108" w:type="dxa"/>
          </w:tblCellMar>
        </w:tblPrEx>
        <w:trPr>
          <w:trHeight w:val="835"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电池</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等线" w:hAnsi="等线" w:eastAsia="等线"/>
                <w:sz w:val="22"/>
                <w:lang w:eastAsia="zh-CN"/>
              </w:rPr>
            </w:pPr>
            <w:r>
              <w:rPr>
                <w:rFonts w:hint="eastAsia" w:ascii="等线" w:hAnsi="等线" w:eastAsia="等线"/>
                <w:sz w:val="22"/>
                <w:lang w:val="en-US" w:eastAsia="zh-CN"/>
              </w:rPr>
              <w:t>项目一（</w:t>
            </w:r>
            <w:r>
              <w:rPr>
                <w:rFonts w:hint="eastAsia" w:ascii="等线" w:hAnsi="等线" w:eastAsia="等线"/>
                <w:sz w:val="22"/>
              </w:rPr>
              <w:t>EV</w:t>
            </w:r>
            <w:r>
              <w:rPr>
                <w:rFonts w:hint="eastAsia" w:ascii="等线" w:hAnsi="等线" w:eastAsia="等线"/>
                <w:sz w:val="22"/>
                <w:lang w:eastAsia="zh-CN"/>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等线" w:hAnsi="等线" w:eastAsia="等线"/>
                <w:sz w:val="22"/>
                <w:lang w:val="en-US" w:eastAsia="zh-CN"/>
              </w:rPr>
            </w:pPr>
            <w:r>
              <w:rPr>
                <w:rFonts w:hint="eastAsia" w:ascii="等线" w:hAnsi="等线" w:eastAsia="等线"/>
                <w:sz w:val="22"/>
                <w:lang w:val="en-US" w:eastAsia="zh-CN"/>
              </w:rPr>
              <w:t>项目二（</w:t>
            </w:r>
            <w:r>
              <w:rPr>
                <w:rFonts w:hint="eastAsia" w:ascii="等线" w:hAnsi="等线" w:eastAsia="等线"/>
                <w:sz w:val="22"/>
              </w:rPr>
              <w:t>EV</w:t>
            </w:r>
            <w:r>
              <w:rPr>
                <w:rFonts w:hint="eastAsia" w:ascii="等线" w:hAnsi="等线" w:eastAsia="等线"/>
                <w:sz w:val="22"/>
                <w:lang w:eastAsia="zh-CN"/>
              </w:rPr>
              <w:t>）</w:t>
            </w:r>
          </w:p>
        </w:tc>
        <w:tc>
          <w:tcPr>
            <w:tcW w:w="18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等线" w:hAnsi="等线" w:eastAsia="等线"/>
                <w:sz w:val="22"/>
                <w:lang w:eastAsia="zh-CN"/>
              </w:rPr>
            </w:pPr>
            <w:r>
              <w:rPr>
                <w:rFonts w:hint="eastAsia" w:ascii="等线" w:hAnsi="等线" w:eastAsia="等线"/>
                <w:sz w:val="22"/>
                <w:lang w:val="en-US" w:eastAsia="zh-CN"/>
              </w:rPr>
              <w:t>项目三（</w:t>
            </w:r>
            <w:r>
              <w:rPr>
                <w:rFonts w:hint="eastAsia" w:ascii="等线" w:hAnsi="等线" w:eastAsia="等线"/>
                <w:sz w:val="22"/>
              </w:rPr>
              <w:t>PHEV</w:t>
            </w:r>
            <w:r>
              <w:rPr>
                <w:rFonts w:hint="eastAsia" w:ascii="等线" w:hAnsi="等线" w:eastAsia="等线"/>
                <w:sz w:val="22"/>
                <w:lang w:eastAsia="zh-CN"/>
              </w:rPr>
              <w:t>）</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lang w:val="en-US" w:eastAsia="zh-CN"/>
              </w:rPr>
              <w:t>项目四（</w:t>
            </w:r>
            <w:r>
              <w:rPr>
                <w:rFonts w:hint="eastAsia" w:ascii="等线" w:hAnsi="等线" w:eastAsia="等线"/>
                <w:sz w:val="22"/>
              </w:rPr>
              <w:t>EV</w:t>
            </w:r>
            <w:r>
              <w:rPr>
                <w:rFonts w:hint="eastAsia" w:ascii="等线" w:hAnsi="等线" w:eastAsia="等线"/>
                <w:sz w:val="22"/>
                <w:lang w:eastAsia="zh-CN"/>
              </w:rPr>
              <w:t>）</w:t>
            </w:r>
            <w:r>
              <w:rPr>
                <w:rFonts w:hint="eastAsia" w:ascii="等线" w:hAnsi="等线" w:eastAsia="等线"/>
                <w:sz w:val="22"/>
              </w:rPr>
              <w:t xml:space="preserve"> </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lang w:val="en-US" w:eastAsia="zh-CN"/>
              </w:rPr>
              <w:t>项目五（</w:t>
            </w:r>
            <w:r>
              <w:rPr>
                <w:rFonts w:hint="eastAsia" w:ascii="等线" w:hAnsi="等线" w:eastAsia="等线"/>
                <w:sz w:val="22"/>
              </w:rPr>
              <w:t>HEV</w:t>
            </w:r>
            <w:r>
              <w:rPr>
                <w:rFonts w:hint="eastAsia" w:ascii="等线" w:hAnsi="等线" w:eastAsia="等线"/>
                <w:sz w:val="22"/>
                <w:lang w:eastAsia="zh-CN"/>
              </w:rPr>
              <w:t>）</w:t>
            </w: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等线" w:hAnsi="等线" w:eastAsia="等线"/>
                <w:sz w:val="22"/>
              </w:rPr>
            </w:pPr>
            <w:r>
              <w:rPr>
                <w:rFonts w:hint="eastAsia" w:ascii="等线" w:hAnsi="等线" w:eastAsia="等线"/>
                <w:sz w:val="22"/>
                <w:lang w:val="en-US" w:eastAsia="zh-CN"/>
              </w:rPr>
              <w:t>项目六（</w:t>
            </w:r>
            <w:r>
              <w:rPr>
                <w:rFonts w:hint="eastAsia" w:ascii="等线" w:hAnsi="等线" w:eastAsia="等线"/>
                <w:sz w:val="22"/>
              </w:rPr>
              <w:t>HEV</w:t>
            </w:r>
            <w:r>
              <w:rPr>
                <w:rFonts w:hint="eastAsia" w:ascii="等线" w:hAnsi="等线" w:eastAsia="等线"/>
                <w:sz w:val="22"/>
                <w:lang w:eastAsia="zh-CN"/>
              </w:rPr>
              <w:t>）</w:t>
            </w:r>
          </w:p>
        </w:tc>
      </w:tr>
      <w:tr>
        <w:tblPrEx>
          <w:tblCellMar>
            <w:top w:w="0" w:type="dxa"/>
            <w:left w:w="108" w:type="dxa"/>
            <w:bottom w:w="0" w:type="dxa"/>
            <w:right w:w="108" w:type="dxa"/>
          </w:tblCellMar>
        </w:tblPrEx>
        <w:trPr>
          <w:trHeight w:val="835"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项目</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622 单晶</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Ni65单晶</w:t>
            </w:r>
          </w:p>
        </w:tc>
        <w:tc>
          <w:tcPr>
            <w:tcW w:w="18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532二次球</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532 单晶</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333 二次球</w:t>
            </w: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532（523）    二次球</w:t>
            </w:r>
          </w:p>
        </w:tc>
      </w:tr>
      <w:tr>
        <w:tblPrEx>
          <w:tblCellMar>
            <w:top w:w="0" w:type="dxa"/>
            <w:left w:w="108" w:type="dxa"/>
            <w:bottom w:w="0" w:type="dxa"/>
            <w:right w:w="108" w:type="dxa"/>
          </w:tblCellMar>
        </w:tblPrEx>
        <w:trPr>
          <w:trHeight w:val="835"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容量(2.6-4.4  0.1C)</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≥192</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≥195</w:t>
            </w:r>
          </w:p>
        </w:tc>
        <w:tc>
          <w:tcPr>
            <w:tcW w:w="18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≥165（3-4.3）</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≥160（3-4.3）</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≥160（0.2C）</w:t>
            </w: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≥168（0.2C）</w:t>
            </w:r>
          </w:p>
        </w:tc>
      </w:tr>
      <w:tr>
        <w:tblPrEx>
          <w:tblCellMar>
            <w:top w:w="0" w:type="dxa"/>
            <w:left w:w="108" w:type="dxa"/>
            <w:bottom w:w="0" w:type="dxa"/>
            <w:right w:w="108" w:type="dxa"/>
          </w:tblCellMar>
        </w:tblPrEx>
        <w:trPr>
          <w:trHeight w:val="425"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粒径D50</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3-5</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4-6</w:t>
            </w:r>
          </w:p>
        </w:tc>
        <w:tc>
          <w:tcPr>
            <w:tcW w:w="18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7-13</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4-7</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3-6</w:t>
            </w: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3-6</w:t>
            </w:r>
          </w:p>
        </w:tc>
      </w:tr>
      <w:tr>
        <w:tblPrEx>
          <w:tblCellMar>
            <w:top w:w="0" w:type="dxa"/>
            <w:left w:w="108" w:type="dxa"/>
            <w:bottom w:w="0" w:type="dxa"/>
            <w:right w:w="108" w:type="dxa"/>
          </w:tblCellMar>
        </w:tblPrEx>
        <w:trPr>
          <w:trHeight w:val="425"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主元素：Ni</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34-36</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37-39</w:t>
            </w:r>
          </w:p>
        </w:tc>
        <w:tc>
          <w:tcPr>
            <w:tcW w:w="18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29-31</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29-31</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19-21</w:t>
            </w: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29-31</w:t>
            </w:r>
          </w:p>
        </w:tc>
      </w:tr>
      <w:tr>
        <w:tblPrEx>
          <w:tblCellMar>
            <w:top w:w="0" w:type="dxa"/>
            <w:left w:w="108" w:type="dxa"/>
            <w:bottom w:w="0" w:type="dxa"/>
            <w:right w:w="108" w:type="dxa"/>
          </w:tblCellMar>
        </w:tblPrEx>
        <w:trPr>
          <w:trHeight w:val="425"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主元素：Co</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10-12</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8-11</w:t>
            </w:r>
          </w:p>
        </w:tc>
        <w:tc>
          <w:tcPr>
            <w:tcW w:w="18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10-13</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10-15</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19-21</w:t>
            </w: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11-20</w:t>
            </w:r>
          </w:p>
        </w:tc>
      </w:tr>
      <w:tr>
        <w:tblPrEx>
          <w:tblCellMar>
            <w:top w:w="0" w:type="dxa"/>
            <w:left w:w="108" w:type="dxa"/>
            <w:bottom w:w="0" w:type="dxa"/>
            <w:right w:w="108" w:type="dxa"/>
          </w:tblCellMar>
        </w:tblPrEx>
        <w:trPr>
          <w:trHeight w:val="425"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主元素：Mn</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11-13</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9-12</w:t>
            </w:r>
          </w:p>
        </w:tc>
        <w:tc>
          <w:tcPr>
            <w:tcW w:w="18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16-18</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14-18</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17-19</w:t>
            </w: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11-18</w:t>
            </w:r>
          </w:p>
        </w:tc>
      </w:tr>
      <w:tr>
        <w:tblPrEx>
          <w:tblCellMar>
            <w:top w:w="0" w:type="dxa"/>
            <w:left w:w="108" w:type="dxa"/>
            <w:bottom w:w="0" w:type="dxa"/>
            <w:right w:w="108" w:type="dxa"/>
          </w:tblCellMar>
        </w:tblPrEx>
        <w:trPr>
          <w:trHeight w:val="425"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磁性物质</w:t>
            </w:r>
          </w:p>
        </w:tc>
        <w:tc>
          <w:tcPr>
            <w:tcW w:w="924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≤25ppb</w:t>
            </w:r>
          </w:p>
        </w:tc>
      </w:tr>
      <w:tr>
        <w:tblPrEx>
          <w:tblCellMar>
            <w:top w:w="0" w:type="dxa"/>
            <w:left w:w="108" w:type="dxa"/>
            <w:bottom w:w="0" w:type="dxa"/>
            <w:right w:w="108" w:type="dxa"/>
          </w:tblCellMar>
        </w:tblPrEx>
        <w:trPr>
          <w:trHeight w:val="425"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比表面积</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≤0.8</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≤0.9</w:t>
            </w:r>
          </w:p>
        </w:tc>
        <w:tc>
          <w:tcPr>
            <w:tcW w:w="18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≤0.6</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≤0.6</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≤1.25</w:t>
            </w: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≤1.25</w:t>
            </w:r>
          </w:p>
        </w:tc>
      </w:tr>
      <w:tr>
        <w:tblPrEx>
          <w:tblCellMar>
            <w:top w:w="0" w:type="dxa"/>
            <w:left w:w="108" w:type="dxa"/>
            <w:bottom w:w="0" w:type="dxa"/>
            <w:right w:w="108" w:type="dxa"/>
          </w:tblCellMar>
        </w:tblPrEx>
        <w:trPr>
          <w:trHeight w:val="425"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全电池发挥0.3C</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≥179</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ascii="等线" w:hAnsi="等线" w:eastAsia="等线"/>
                <w:sz w:val="22"/>
              </w:rPr>
              <w:t>≥</w:t>
            </w:r>
            <w:r>
              <w:rPr>
                <w:rFonts w:hint="eastAsia" w:ascii="等线" w:hAnsi="等线" w:eastAsia="等线"/>
                <w:sz w:val="22"/>
              </w:rPr>
              <w:t>183</w:t>
            </w:r>
          </w:p>
        </w:tc>
        <w:tc>
          <w:tcPr>
            <w:tcW w:w="18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ascii="等线" w:hAnsi="等线" w:eastAsia="等线"/>
                <w:sz w:val="22"/>
              </w:rPr>
              <w:t>≥</w:t>
            </w:r>
            <w:r>
              <w:rPr>
                <w:rFonts w:hint="eastAsia" w:ascii="等线" w:hAnsi="等线" w:eastAsia="等线"/>
                <w:sz w:val="22"/>
              </w:rPr>
              <w:t>160</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ascii="等线" w:hAnsi="等线" w:eastAsia="等线"/>
                <w:sz w:val="22"/>
              </w:rPr>
              <w:t>≥</w:t>
            </w:r>
            <w:r>
              <w:rPr>
                <w:rFonts w:hint="eastAsia" w:ascii="等线" w:hAnsi="等线" w:eastAsia="等线"/>
                <w:sz w:val="22"/>
              </w:rPr>
              <w:t>158</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p>
        </w:tc>
      </w:tr>
      <w:tr>
        <w:tblPrEx>
          <w:tblCellMar>
            <w:top w:w="0" w:type="dxa"/>
            <w:left w:w="108" w:type="dxa"/>
            <w:bottom w:w="0" w:type="dxa"/>
            <w:right w:w="108" w:type="dxa"/>
          </w:tblCellMar>
        </w:tblPrEx>
        <w:trPr>
          <w:trHeight w:val="425"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水分</w:t>
            </w:r>
          </w:p>
        </w:tc>
        <w:tc>
          <w:tcPr>
            <w:tcW w:w="924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≤150ppm</w:t>
            </w:r>
          </w:p>
        </w:tc>
      </w:tr>
      <w:tr>
        <w:tblPrEx>
          <w:tblCellMar>
            <w:top w:w="0" w:type="dxa"/>
            <w:left w:w="108" w:type="dxa"/>
            <w:bottom w:w="0" w:type="dxa"/>
            <w:right w:w="108" w:type="dxa"/>
          </w:tblCellMar>
        </w:tblPrEx>
        <w:trPr>
          <w:trHeight w:val="441"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常温循环</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≥2000（全电池4.3V）</w:t>
            </w:r>
          </w:p>
        </w:tc>
        <w:tc>
          <w:tcPr>
            <w:tcW w:w="18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≥5000（全电池4.3V）</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≥2000（全电池4.3V）</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2C 5000次（全电池4.2V）</w:t>
            </w: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2C 5000次（全电池4.2V）</w:t>
            </w:r>
          </w:p>
        </w:tc>
      </w:tr>
      <w:tr>
        <w:tblPrEx>
          <w:tblCellMar>
            <w:top w:w="0" w:type="dxa"/>
            <w:left w:w="108" w:type="dxa"/>
            <w:bottom w:w="0" w:type="dxa"/>
            <w:right w:w="108" w:type="dxa"/>
          </w:tblCellMar>
        </w:tblPrEx>
        <w:trPr>
          <w:trHeight w:val="441" w:hRule="atLeast"/>
          <w:jc w:val="center"/>
        </w:trPr>
        <w:tc>
          <w:tcPr>
            <w:tcW w:w="18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允许最大倍率</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2C</w:t>
            </w:r>
          </w:p>
        </w:tc>
        <w:tc>
          <w:tcPr>
            <w:tcW w:w="18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4C</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2C</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p>
        </w:tc>
      </w:tr>
    </w:tbl>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tbl>
      <w:tblPr>
        <w:tblStyle w:val="23"/>
        <w:tblW w:w="9928" w:type="dxa"/>
        <w:jc w:val="center"/>
        <w:tblLayout w:type="autofit"/>
        <w:tblCellMar>
          <w:top w:w="0" w:type="dxa"/>
          <w:left w:w="0" w:type="dxa"/>
          <w:bottom w:w="0" w:type="dxa"/>
          <w:right w:w="0" w:type="dxa"/>
        </w:tblCellMar>
      </w:tblPr>
      <w:tblGrid>
        <w:gridCol w:w="1420"/>
        <w:gridCol w:w="2129"/>
        <w:gridCol w:w="6379"/>
      </w:tblGrid>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项目名称</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等线" w:hAnsi="等线" w:eastAsia="等线" w:cs="宋体"/>
                <w:kern w:val="0"/>
                <w:sz w:val="24"/>
                <w:lang w:val="en-US" w:eastAsia="zh-CN"/>
              </w:rPr>
              <w:t>项目七</w:t>
            </w:r>
            <w:r>
              <w:rPr>
                <w:rFonts w:hint="eastAsia" w:ascii="等线" w:hAnsi="等线" w:eastAsia="等线" w:cs="宋体"/>
                <w:kern w:val="0"/>
                <w:sz w:val="24"/>
                <w:lang w:eastAsia="zh-CN"/>
              </w:rPr>
              <w:t>（</w:t>
            </w:r>
            <w:r>
              <w:rPr>
                <w:rFonts w:ascii="等线" w:hAnsi="等线" w:eastAsia="等线" w:cs="宋体"/>
                <w:kern w:val="0"/>
                <w:sz w:val="24"/>
              </w:rPr>
              <w:t>EV</w:t>
            </w:r>
            <w:r>
              <w:rPr>
                <w:rFonts w:hint="eastAsia" w:ascii="等线" w:hAnsi="等线" w:eastAsia="等线" w:cs="宋体"/>
                <w:kern w:val="0"/>
                <w:sz w:val="24"/>
                <w:lang w:eastAsia="zh-CN"/>
              </w:rPr>
              <w:t>）</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材料类型</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55~65系（优先考虑55、613、65）单晶</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工艺路线</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碳酸锂或氢氧化锂工艺均可，务必保证量产稳定供应产品</w:t>
            </w:r>
          </w:p>
        </w:tc>
      </w:tr>
      <w:tr>
        <w:tblPrEx>
          <w:tblCellMar>
            <w:top w:w="0" w:type="dxa"/>
            <w:left w:w="0" w:type="dxa"/>
            <w:bottom w:w="0" w:type="dxa"/>
            <w:right w:w="0" w:type="dxa"/>
          </w:tblCellMar>
        </w:tblPrEx>
        <w:trPr>
          <w:trHeight w:val="480" w:hRule="atLeast"/>
          <w:jc w:val="center"/>
        </w:trPr>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扣式半电池</w:t>
            </w: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0.1C克容量</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等线" w:hAnsi="等线" w:eastAsia="等线" w:cs="宋体"/>
                <w:kern w:val="0"/>
                <w:sz w:val="24"/>
              </w:rPr>
            </w:pPr>
            <w:r>
              <w:rPr>
                <w:rFonts w:ascii="等线" w:hAnsi="等线" w:eastAsia="等线" w:cs="宋体"/>
                <w:kern w:val="0"/>
                <w:sz w:val="24"/>
              </w:rPr>
              <w:t>≥195（</w:t>
            </w:r>
            <w:r>
              <w:rPr>
                <w:rFonts w:hint="eastAsia" w:ascii="等线" w:hAnsi="等线" w:eastAsia="等线" w:cs="宋体"/>
                <w:kern w:val="0"/>
                <w:sz w:val="24"/>
              </w:rPr>
              <w:t>2.6-4.45V</w:t>
            </w:r>
            <w:r>
              <w:rPr>
                <w:rFonts w:ascii="等线" w:hAnsi="等线" w:eastAsia="等线" w:cs="宋体"/>
                <w:kern w:val="0"/>
                <w:sz w:val="24"/>
              </w:rPr>
              <w:t>）</w:t>
            </w:r>
          </w:p>
        </w:tc>
      </w:tr>
      <w:tr>
        <w:tblPrEx>
          <w:tblCellMar>
            <w:top w:w="0" w:type="dxa"/>
            <w:left w:w="0" w:type="dxa"/>
            <w:bottom w:w="0" w:type="dxa"/>
            <w:right w:w="0"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首次效率</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≥86%</w:t>
            </w:r>
          </w:p>
        </w:tc>
      </w:tr>
      <w:tr>
        <w:tblPrEx>
          <w:tblCellMar>
            <w:top w:w="0" w:type="dxa"/>
            <w:left w:w="0" w:type="dxa"/>
            <w:bottom w:w="0" w:type="dxa"/>
            <w:right w:w="0"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1C/0.1C克容量</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≥90%</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粒径D50</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4-7</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主元素：Ni mol.</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53-68</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主元素：Co mol.</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6-16</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主元素：Mn mol.</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24-41</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磁性物质</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w:t>
            </w:r>
            <w:r>
              <w:rPr>
                <w:rFonts w:hint="eastAsia" w:ascii="等线" w:hAnsi="等线" w:eastAsia="等线" w:cs="宋体"/>
                <w:kern w:val="0"/>
                <w:sz w:val="24"/>
              </w:rPr>
              <w:t>25</w:t>
            </w:r>
            <w:r>
              <w:rPr>
                <w:rFonts w:ascii="等线" w:hAnsi="等线" w:eastAsia="等线" w:cs="宋体"/>
                <w:kern w:val="0"/>
                <w:sz w:val="24"/>
              </w:rPr>
              <w:t>ppb</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比表面积</w:t>
            </w:r>
          </w:p>
        </w:tc>
        <w:tc>
          <w:tcPr>
            <w:tcW w:w="63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≤0.8</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水分 ppm</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≤400</w:t>
            </w:r>
          </w:p>
        </w:tc>
      </w:tr>
      <w:tr>
        <w:tblPrEx>
          <w:tblCellMar>
            <w:top w:w="0" w:type="dxa"/>
            <w:left w:w="0" w:type="dxa"/>
            <w:bottom w:w="0" w:type="dxa"/>
            <w:right w:w="0" w:type="dxa"/>
          </w:tblCellMar>
        </w:tblPrEx>
        <w:trPr>
          <w:trHeight w:val="48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全电池</w:t>
            </w: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0.3C</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≥18</w:t>
            </w:r>
            <w:r>
              <w:rPr>
                <w:rFonts w:hint="eastAsia" w:ascii="等线" w:hAnsi="等线" w:eastAsia="等线" w:cs="宋体"/>
                <w:kern w:val="0"/>
                <w:sz w:val="24"/>
              </w:rPr>
              <w:t>0</w:t>
            </w:r>
            <w:r>
              <w:rPr>
                <w:rFonts w:ascii="等线" w:hAnsi="等线" w:eastAsia="等线" w:cs="宋体"/>
                <w:kern w:val="0"/>
                <w:sz w:val="24"/>
              </w:rPr>
              <w:t>mah/g（</w:t>
            </w:r>
            <w:r>
              <w:rPr>
                <w:rFonts w:hint="eastAsia" w:ascii="等线" w:hAnsi="等线" w:eastAsia="等线" w:cs="宋体"/>
                <w:kern w:val="0"/>
                <w:sz w:val="24"/>
              </w:rPr>
              <w:t>全电池</w:t>
            </w:r>
            <w:r>
              <w:rPr>
                <w:rFonts w:ascii="等线" w:hAnsi="等线" w:eastAsia="等线" w:cs="宋体"/>
                <w:kern w:val="0"/>
                <w:sz w:val="24"/>
              </w:rPr>
              <w:t>4.35</w:t>
            </w:r>
            <w:r>
              <w:rPr>
                <w:rFonts w:hint="eastAsia" w:ascii="等线" w:hAnsi="等线" w:eastAsia="等线" w:cs="宋体"/>
                <w:kern w:val="0"/>
                <w:sz w:val="24"/>
              </w:rPr>
              <w:t>V</w:t>
            </w:r>
            <w:r>
              <w:rPr>
                <w:rFonts w:ascii="等线" w:hAnsi="等线" w:eastAsia="等线" w:cs="宋体"/>
                <w:kern w:val="0"/>
                <w:sz w:val="24"/>
              </w:rPr>
              <w:t>）</w:t>
            </w:r>
          </w:p>
        </w:tc>
      </w:tr>
      <w:tr>
        <w:tblPrEx>
          <w:tblCellMar>
            <w:top w:w="0" w:type="dxa"/>
            <w:left w:w="0" w:type="dxa"/>
            <w:bottom w:w="0" w:type="dxa"/>
            <w:right w:w="0"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1C</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17</w:t>
            </w:r>
            <w:r>
              <w:rPr>
                <w:rFonts w:hint="eastAsia" w:ascii="等线" w:hAnsi="等线" w:eastAsia="等线" w:cs="宋体"/>
                <w:kern w:val="0"/>
                <w:sz w:val="24"/>
              </w:rPr>
              <w:t>3</w:t>
            </w:r>
            <w:r>
              <w:rPr>
                <w:rFonts w:ascii="等线" w:hAnsi="等线" w:eastAsia="等线" w:cs="宋体"/>
                <w:kern w:val="0"/>
                <w:sz w:val="24"/>
              </w:rPr>
              <w:t>mah/g（</w:t>
            </w:r>
            <w:r>
              <w:rPr>
                <w:rFonts w:hint="eastAsia" w:ascii="等线" w:hAnsi="等线" w:eastAsia="等线" w:cs="宋体"/>
                <w:kern w:val="0"/>
                <w:sz w:val="24"/>
              </w:rPr>
              <w:t>全电池</w:t>
            </w:r>
            <w:r>
              <w:rPr>
                <w:rFonts w:ascii="等线" w:hAnsi="等线" w:eastAsia="等线" w:cs="宋体"/>
                <w:kern w:val="0"/>
                <w:sz w:val="24"/>
              </w:rPr>
              <w:t>4.35</w:t>
            </w:r>
            <w:r>
              <w:rPr>
                <w:rFonts w:hint="eastAsia" w:ascii="等线" w:hAnsi="等线" w:eastAsia="等线" w:cs="宋体"/>
                <w:kern w:val="0"/>
                <w:sz w:val="24"/>
              </w:rPr>
              <w:t>V</w:t>
            </w:r>
            <w:r>
              <w:rPr>
                <w:rFonts w:ascii="等线" w:hAnsi="等线" w:eastAsia="等线" w:cs="宋体"/>
                <w:kern w:val="0"/>
                <w:sz w:val="24"/>
              </w:rPr>
              <w:t>）</w:t>
            </w:r>
          </w:p>
        </w:tc>
      </w:tr>
      <w:tr>
        <w:tblPrEx>
          <w:tblCellMar>
            <w:top w:w="0" w:type="dxa"/>
            <w:left w:w="0" w:type="dxa"/>
            <w:bottom w:w="0" w:type="dxa"/>
            <w:right w:w="0"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常温循环(25℃)</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≥2500</w:t>
            </w:r>
          </w:p>
        </w:tc>
      </w:tr>
      <w:tr>
        <w:tblPrEx>
          <w:tblCellMar>
            <w:top w:w="0" w:type="dxa"/>
            <w:left w:w="0" w:type="dxa"/>
            <w:bottom w:w="0" w:type="dxa"/>
            <w:right w:w="0"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高温循环（45℃   1C/1C）</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≥1500</w:t>
            </w:r>
          </w:p>
        </w:tc>
      </w:tr>
      <w:tr>
        <w:tblPrEx>
          <w:tblCellMar>
            <w:top w:w="0" w:type="dxa"/>
            <w:left w:w="0" w:type="dxa"/>
            <w:bottom w:w="0" w:type="dxa"/>
            <w:right w:w="0" w:type="dxa"/>
          </w:tblCellMar>
        </w:tblPrEx>
        <w:trPr>
          <w:trHeight w:val="1815" w:hRule="atLeast"/>
          <w:jc w:val="center"/>
        </w:trPr>
        <w:tc>
          <w:tcPr>
            <w:tcW w:w="992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ascii="等线" w:hAnsi="等线" w:eastAsia="等线" w:cs="宋体"/>
                <w:b/>
                <w:bCs/>
                <w:color w:val="FF0000"/>
                <w:kern w:val="0"/>
                <w:sz w:val="24"/>
              </w:rPr>
              <w:t>备注：                                                                                                                                                                            1.此次招投标为“单一项目”，根据实际情况投标一款(优先)或多款类型材料，我司会根据材料性价比，每个供应商优先考虑“一款产品”                                                                                                                                         2.投标时务必提供规格书及指标典型值</w:t>
            </w:r>
          </w:p>
        </w:tc>
      </w:tr>
    </w:tbl>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tbl>
      <w:tblPr>
        <w:tblStyle w:val="23"/>
        <w:tblW w:w="9928" w:type="dxa"/>
        <w:jc w:val="center"/>
        <w:tblLayout w:type="autofit"/>
        <w:tblCellMar>
          <w:top w:w="0" w:type="dxa"/>
          <w:left w:w="0" w:type="dxa"/>
          <w:bottom w:w="0" w:type="dxa"/>
          <w:right w:w="0" w:type="dxa"/>
        </w:tblCellMar>
      </w:tblPr>
      <w:tblGrid>
        <w:gridCol w:w="1420"/>
        <w:gridCol w:w="2129"/>
        <w:gridCol w:w="6379"/>
      </w:tblGrid>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项目名称</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等线" w:hAnsi="等线" w:eastAsia="等线" w:cs="宋体"/>
                <w:kern w:val="0"/>
                <w:sz w:val="24"/>
                <w:lang w:val="en-US" w:eastAsia="zh-CN"/>
              </w:rPr>
              <w:t>项目八（</w:t>
            </w:r>
            <w:r>
              <w:rPr>
                <w:rFonts w:ascii="等线" w:hAnsi="等线" w:eastAsia="等线" w:cs="宋体"/>
                <w:kern w:val="0"/>
                <w:sz w:val="24"/>
              </w:rPr>
              <w:t>EV</w:t>
            </w:r>
            <w:r>
              <w:rPr>
                <w:rFonts w:hint="eastAsia" w:ascii="等线" w:hAnsi="等线" w:eastAsia="等线" w:cs="宋体"/>
                <w:kern w:val="0"/>
                <w:sz w:val="24"/>
                <w:lang w:eastAsia="zh-CN"/>
              </w:rPr>
              <w:t>）</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材料类型</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等线" w:hAnsi="等线" w:eastAsia="等线" w:cs="宋体"/>
                <w:kern w:val="0"/>
                <w:sz w:val="24"/>
              </w:rPr>
              <w:t>70~85</w:t>
            </w:r>
            <w:r>
              <w:rPr>
                <w:rFonts w:ascii="等线" w:hAnsi="等线" w:eastAsia="等线" w:cs="宋体"/>
                <w:kern w:val="0"/>
                <w:sz w:val="24"/>
              </w:rPr>
              <w:t>系（优先考虑</w:t>
            </w:r>
            <w:r>
              <w:rPr>
                <w:rFonts w:hint="eastAsia" w:ascii="等线" w:hAnsi="等线" w:eastAsia="等线" w:cs="宋体"/>
                <w:kern w:val="0"/>
                <w:sz w:val="24"/>
              </w:rPr>
              <w:t>73</w:t>
            </w:r>
            <w:r>
              <w:rPr>
                <w:rFonts w:ascii="等线" w:hAnsi="等线" w:eastAsia="等线" w:cs="宋体"/>
                <w:kern w:val="0"/>
                <w:sz w:val="24"/>
              </w:rPr>
              <w:t>、</w:t>
            </w:r>
            <w:r>
              <w:rPr>
                <w:rFonts w:hint="eastAsia" w:ascii="等线" w:hAnsi="等线" w:eastAsia="等线" w:cs="宋体"/>
                <w:kern w:val="0"/>
                <w:sz w:val="24"/>
              </w:rPr>
              <w:t>83</w:t>
            </w:r>
            <w:r>
              <w:rPr>
                <w:rFonts w:ascii="等线" w:hAnsi="等线" w:eastAsia="等线" w:cs="宋体"/>
                <w:kern w:val="0"/>
                <w:sz w:val="24"/>
              </w:rPr>
              <w:t>）单晶</w:t>
            </w:r>
            <w:r>
              <w:rPr>
                <w:rFonts w:hint="eastAsia" w:ascii="等线" w:hAnsi="等线" w:eastAsia="等线" w:cs="宋体"/>
                <w:kern w:val="0"/>
                <w:sz w:val="24"/>
              </w:rPr>
              <w:t>/单晶</w:t>
            </w:r>
            <w:r>
              <w:rPr>
                <w:rFonts w:ascii="等线" w:hAnsi="等线" w:eastAsia="等线" w:cs="宋体"/>
                <w:kern w:val="0"/>
                <w:sz w:val="24"/>
              </w:rPr>
              <w:t>掺混二次球</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工艺路线</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等线" w:hAnsi="等线" w:eastAsia="等线" w:cs="宋体"/>
                <w:kern w:val="0"/>
                <w:sz w:val="24"/>
              </w:rPr>
              <w:t>有无水洗</w:t>
            </w:r>
            <w:r>
              <w:rPr>
                <w:rFonts w:ascii="等线" w:hAnsi="等线" w:eastAsia="等线" w:cs="宋体"/>
                <w:kern w:val="0"/>
                <w:sz w:val="24"/>
              </w:rPr>
              <w:t>工艺均可，务必保证量产稳定供应产品</w:t>
            </w:r>
          </w:p>
        </w:tc>
      </w:tr>
      <w:tr>
        <w:tblPrEx>
          <w:tblCellMar>
            <w:top w:w="0" w:type="dxa"/>
            <w:left w:w="0" w:type="dxa"/>
            <w:bottom w:w="0" w:type="dxa"/>
            <w:right w:w="0" w:type="dxa"/>
          </w:tblCellMar>
        </w:tblPrEx>
        <w:trPr>
          <w:trHeight w:val="480" w:hRule="atLeast"/>
          <w:jc w:val="center"/>
        </w:trPr>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扣式半电池</w:t>
            </w: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0.1C克容量</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等线" w:hAnsi="等线" w:eastAsia="等线" w:cs="宋体"/>
                <w:kern w:val="0"/>
                <w:sz w:val="24"/>
              </w:rPr>
            </w:pPr>
            <w:r>
              <w:rPr>
                <w:rFonts w:ascii="等线" w:hAnsi="等线" w:eastAsia="等线" w:cs="宋体"/>
                <w:kern w:val="0"/>
                <w:sz w:val="24"/>
              </w:rPr>
              <w:t>≥202</w:t>
            </w:r>
            <w:r>
              <w:rPr>
                <w:rFonts w:hint="eastAsia" w:ascii="等线" w:hAnsi="等线" w:eastAsia="等线"/>
                <w:sz w:val="22"/>
              </w:rPr>
              <w:t>(2.6-4.4  0.1C)</w:t>
            </w:r>
          </w:p>
        </w:tc>
      </w:tr>
      <w:tr>
        <w:tblPrEx>
          <w:tblCellMar>
            <w:top w:w="0" w:type="dxa"/>
            <w:left w:w="0" w:type="dxa"/>
            <w:bottom w:w="0" w:type="dxa"/>
            <w:right w:w="0"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首次效率</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≥86%</w:t>
            </w:r>
          </w:p>
        </w:tc>
      </w:tr>
      <w:tr>
        <w:tblPrEx>
          <w:tblCellMar>
            <w:top w:w="0" w:type="dxa"/>
            <w:left w:w="0" w:type="dxa"/>
            <w:bottom w:w="0" w:type="dxa"/>
            <w:right w:w="0"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1C/0.1C克容量</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≥90%</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粒径D50</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4-13</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主元素：Ni mol.</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70～85</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主元素：Co mol.</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6-11</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主元素：Mn mol.</w:t>
            </w:r>
          </w:p>
        </w:tc>
        <w:tc>
          <w:tcPr>
            <w:tcW w:w="637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10-24</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磁性物质</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w:t>
            </w:r>
            <w:r>
              <w:rPr>
                <w:rFonts w:hint="eastAsia" w:ascii="等线" w:hAnsi="等线" w:eastAsia="等线" w:cs="宋体"/>
                <w:kern w:val="0"/>
                <w:sz w:val="24"/>
              </w:rPr>
              <w:t>25</w:t>
            </w:r>
            <w:r>
              <w:rPr>
                <w:rFonts w:ascii="等线" w:hAnsi="等线" w:eastAsia="等线" w:cs="宋体"/>
                <w:kern w:val="0"/>
                <w:sz w:val="24"/>
              </w:rPr>
              <w:t>ppb</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比表面积</w:t>
            </w:r>
          </w:p>
        </w:tc>
        <w:tc>
          <w:tcPr>
            <w:tcW w:w="63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≤0.8</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水分 ppm</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≤400</w:t>
            </w:r>
          </w:p>
        </w:tc>
      </w:tr>
      <w:tr>
        <w:tblPrEx>
          <w:tblCellMar>
            <w:top w:w="0" w:type="dxa"/>
            <w:left w:w="0" w:type="dxa"/>
            <w:bottom w:w="0" w:type="dxa"/>
            <w:right w:w="0" w:type="dxa"/>
          </w:tblCellMar>
        </w:tblPrEx>
        <w:trPr>
          <w:trHeight w:val="480" w:hRule="atLeast"/>
          <w:jc w:val="center"/>
        </w:trPr>
        <w:tc>
          <w:tcPr>
            <w:tcW w:w="3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残碱（L</w:t>
            </w:r>
            <w:r>
              <w:rPr>
                <w:rFonts w:ascii="等线" w:hAnsi="等线" w:eastAsia="等线" w:cs="宋体"/>
                <w:kern w:val="0"/>
                <w:sz w:val="24"/>
              </w:rPr>
              <w:t>iCO3/LiOH）</w:t>
            </w:r>
            <w:r>
              <w:rPr>
                <w:rFonts w:hint="eastAsia" w:ascii="等线" w:hAnsi="等线" w:eastAsia="等线" w:cs="宋体"/>
                <w:kern w:val="0"/>
                <w:sz w:val="24"/>
              </w:rPr>
              <w:t>wt</w:t>
            </w:r>
            <w:r>
              <w:rPr>
                <w:rFonts w:ascii="等线" w:hAnsi="等线" w:eastAsia="等线" w:cs="宋体"/>
                <w:kern w:val="0"/>
                <w:sz w:val="24"/>
              </w:rPr>
              <w:t>%</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ascii="等线" w:hAnsi="等线" w:eastAsia="等线" w:cs="宋体"/>
                <w:kern w:val="0"/>
                <w:sz w:val="24"/>
              </w:rPr>
              <w:t>≤0.3/≤0.3</w:t>
            </w:r>
          </w:p>
        </w:tc>
      </w:tr>
      <w:tr>
        <w:tblPrEx>
          <w:tblCellMar>
            <w:top w:w="0" w:type="dxa"/>
            <w:left w:w="0" w:type="dxa"/>
            <w:bottom w:w="0" w:type="dxa"/>
            <w:right w:w="0" w:type="dxa"/>
          </w:tblCellMar>
        </w:tblPrEx>
        <w:trPr>
          <w:trHeight w:val="48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全电池</w:t>
            </w: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0.3C</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≥190mah/g（</w:t>
            </w:r>
            <w:r>
              <w:rPr>
                <w:rFonts w:hint="eastAsia" w:ascii="等线" w:hAnsi="等线" w:eastAsia="等线"/>
                <w:sz w:val="22"/>
              </w:rPr>
              <w:t>单晶全电池4.</w:t>
            </w:r>
            <w:r>
              <w:rPr>
                <w:rFonts w:ascii="等线" w:hAnsi="等线" w:eastAsia="等线"/>
                <w:sz w:val="22"/>
              </w:rPr>
              <w:t>3</w:t>
            </w:r>
            <w:r>
              <w:rPr>
                <w:rFonts w:hint="eastAsia" w:ascii="等线" w:hAnsi="等线" w:eastAsia="等线"/>
                <w:sz w:val="22"/>
              </w:rPr>
              <w:t>V</w:t>
            </w:r>
            <w:r>
              <w:rPr>
                <w:rFonts w:ascii="等线" w:hAnsi="等线" w:eastAsia="等线"/>
                <w:sz w:val="22"/>
              </w:rPr>
              <w:t>/掺混全电池4.2V</w:t>
            </w:r>
            <w:r>
              <w:rPr>
                <w:rFonts w:ascii="等线" w:hAnsi="等线" w:eastAsia="等线" w:cs="宋体"/>
                <w:kern w:val="0"/>
                <w:sz w:val="24"/>
              </w:rPr>
              <w:t>）</w:t>
            </w:r>
          </w:p>
        </w:tc>
      </w:tr>
      <w:tr>
        <w:tblPrEx>
          <w:tblCellMar>
            <w:top w:w="0" w:type="dxa"/>
            <w:left w:w="0" w:type="dxa"/>
            <w:bottom w:w="0" w:type="dxa"/>
            <w:right w:w="0"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1C</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184mah/g（</w:t>
            </w:r>
            <w:r>
              <w:rPr>
                <w:rFonts w:hint="eastAsia" w:ascii="等线" w:hAnsi="等线" w:eastAsia="等线"/>
                <w:sz w:val="22"/>
              </w:rPr>
              <w:t>单晶全电池4.</w:t>
            </w:r>
            <w:r>
              <w:rPr>
                <w:rFonts w:ascii="等线" w:hAnsi="等线" w:eastAsia="等线"/>
                <w:sz w:val="22"/>
              </w:rPr>
              <w:t>3</w:t>
            </w:r>
            <w:r>
              <w:rPr>
                <w:rFonts w:hint="eastAsia" w:ascii="等线" w:hAnsi="等线" w:eastAsia="等线"/>
                <w:sz w:val="22"/>
              </w:rPr>
              <w:t>V</w:t>
            </w:r>
            <w:r>
              <w:rPr>
                <w:rFonts w:ascii="等线" w:hAnsi="等线" w:eastAsia="等线"/>
                <w:sz w:val="22"/>
              </w:rPr>
              <w:t>/掺混全电池4.2V</w:t>
            </w:r>
            <w:r>
              <w:rPr>
                <w:rFonts w:ascii="等线" w:hAnsi="等线" w:eastAsia="等线" w:cs="宋体"/>
                <w:kern w:val="0"/>
                <w:sz w:val="24"/>
              </w:rPr>
              <w:t>）</w:t>
            </w:r>
          </w:p>
        </w:tc>
      </w:tr>
      <w:tr>
        <w:tblPrEx>
          <w:tblCellMar>
            <w:top w:w="0" w:type="dxa"/>
            <w:left w:w="0" w:type="dxa"/>
            <w:bottom w:w="0" w:type="dxa"/>
            <w:right w:w="0"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常温循环(25℃)</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等线" w:hAnsi="等线" w:eastAsia="等线"/>
                <w:sz w:val="22"/>
              </w:rPr>
              <w:t>≥2500（单晶全电池4.</w:t>
            </w:r>
            <w:r>
              <w:rPr>
                <w:rFonts w:ascii="等线" w:hAnsi="等线" w:eastAsia="等线"/>
                <w:sz w:val="22"/>
              </w:rPr>
              <w:t>3</w:t>
            </w:r>
            <w:r>
              <w:rPr>
                <w:rFonts w:hint="eastAsia" w:ascii="等线" w:hAnsi="等线" w:eastAsia="等线"/>
                <w:sz w:val="22"/>
              </w:rPr>
              <w:t>V</w:t>
            </w:r>
            <w:r>
              <w:rPr>
                <w:rFonts w:ascii="等线" w:hAnsi="等线" w:eastAsia="等线"/>
                <w:sz w:val="22"/>
              </w:rPr>
              <w:t>/掺混全电池4.25V</w:t>
            </w:r>
            <w:r>
              <w:rPr>
                <w:rFonts w:hint="eastAsia" w:ascii="等线" w:hAnsi="等线" w:eastAsia="等线"/>
                <w:sz w:val="22"/>
              </w:rPr>
              <w:t>）</w:t>
            </w:r>
          </w:p>
        </w:tc>
      </w:tr>
      <w:tr>
        <w:tblPrEx>
          <w:tblCellMar>
            <w:top w:w="0" w:type="dxa"/>
            <w:left w:w="0" w:type="dxa"/>
            <w:bottom w:w="0" w:type="dxa"/>
            <w:right w:w="0"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高温循环（45℃   1C/1C）</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等线" w:hAnsi="等线" w:eastAsia="等线" w:cs="宋体"/>
                <w:kern w:val="0"/>
                <w:sz w:val="24"/>
              </w:rPr>
              <w:t>≥1500</w:t>
            </w:r>
            <w:r>
              <w:rPr>
                <w:rFonts w:hint="eastAsia" w:ascii="等线" w:hAnsi="等线" w:eastAsia="等线"/>
                <w:sz w:val="22"/>
              </w:rPr>
              <w:t>（单晶全电池4.</w:t>
            </w:r>
            <w:r>
              <w:rPr>
                <w:rFonts w:ascii="等线" w:hAnsi="等线" w:eastAsia="等线"/>
                <w:sz w:val="22"/>
              </w:rPr>
              <w:t>3</w:t>
            </w:r>
            <w:r>
              <w:rPr>
                <w:rFonts w:hint="eastAsia" w:ascii="等线" w:hAnsi="等线" w:eastAsia="等线"/>
                <w:sz w:val="22"/>
              </w:rPr>
              <w:t>V</w:t>
            </w:r>
            <w:r>
              <w:rPr>
                <w:rFonts w:ascii="等线" w:hAnsi="等线" w:eastAsia="等线"/>
                <w:sz w:val="22"/>
              </w:rPr>
              <w:t>/掺混全电池4.25V</w:t>
            </w:r>
            <w:r>
              <w:rPr>
                <w:rFonts w:hint="eastAsia" w:ascii="等线" w:hAnsi="等线" w:eastAsia="等线"/>
                <w:sz w:val="22"/>
              </w:rPr>
              <w:t>）</w:t>
            </w:r>
          </w:p>
        </w:tc>
      </w:tr>
      <w:tr>
        <w:tblPrEx>
          <w:tblCellMar>
            <w:top w:w="0" w:type="dxa"/>
            <w:left w:w="0" w:type="dxa"/>
            <w:bottom w:w="0" w:type="dxa"/>
            <w:right w:w="0" w:type="dxa"/>
          </w:tblCellMar>
        </w:tblPrEx>
        <w:trPr>
          <w:trHeight w:val="1815" w:hRule="atLeast"/>
          <w:jc w:val="center"/>
        </w:trPr>
        <w:tc>
          <w:tcPr>
            <w:tcW w:w="992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ascii="等线" w:hAnsi="等线" w:eastAsia="等线" w:cs="宋体"/>
                <w:b/>
                <w:bCs/>
                <w:color w:val="FF0000"/>
                <w:kern w:val="0"/>
                <w:sz w:val="24"/>
              </w:rPr>
              <w:t>备注：                                                                                                                                                                            1.此次招投标为“单一项目”，根据实际情况投标一款(优先)或多款类型材料，我司会根据材料性价比，每个供应商优先考虑“一款产品”                                                                                                                                         2.投标时务必提供规格书及指标典型值</w:t>
            </w:r>
          </w:p>
        </w:tc>
      </w:tr>
    </w:tbl>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tbl>
      <w:tblPr>
        <w:tblStyle w:val="23"/>
        <w:tblW w:w="5270" w:type="dxa"/>
        <w:jc w:val="center"/>
        <w:tblLayout w:type="fixed"/>
        <w:tblCellMar>
          <w:top w:w="0" w:type="dxa"/>
          <w:left w:w="108" w:type="dxa"/>
          <w:bottom w:w="0" w:type="dxa"/>
          <w:right w:w="108" w:type="dxa"/>
        </w:tblCellMar>
      </w:tblPr>
      <w:tblGrid>
        <w:gridCol w:w="2293"/>
        <w:gridCol w:w="2977"/>
      </w:tblGrid>
      <w:tr>
        <w:tblPrEx>
          <w:tblCellMar>
            <w:top w:w="0" w:type="dxa"/>
            <w:left w:w="108" w:type="dxa"/>
            <w:bottom w:w="0" w:type="dxa"/>
            <w:right w:w="108" w:type="dxa"/>
          </w:tblCellMar>
        </w:tblPrEx>
        <w:trPr>
          <w:trHeight w:val="65" w:hRule="atLeast"/>
          <w:jc w:val="center"/>
        </w:trPr>
        <w:tc>
          <w:tcPr>
            <w:tcW w:w="527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钴酸锂</w:t>
            </w:r>
          </w:p>
        </w:tc>
      </w:tr>
      <w:tr>
        <w:tblPrEx>
          <w:tblCellMar>
            <w:top w:w="0" w:type="dxa"/>
            <w:left w:w="108" w:type="dxa"/>
            <w:bottom w:w="0" w:type="dxa"/>
            <w:right w:w="108" w:type="dxa"/>
          </w:tblCellMar>
        </w:tblPrEx>
        <w:trPr>
          <w:trHeight w:val="65" w:hRule="atLeast"/>
          <w:jc w:val="center"/>
        </w:trPr>
        <w:tc>
          <w:tcPr>
            <w:tcW w:w="22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极片压实</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≥3.5</w:t>
            </w:r>
          </w:p>
        </w:tc>
      </w:tr>
      <w:tr>
        <w:tblPrEx>
          <w:tblCellMar>
            <w:top w:w="0" w:type="dxa"/>
            <w:left w:w="108" w:type="dxa"/>
            <w:bottom w:w="0" w:type="dxa"/>
            <w:right w:w="108" w:type="dxa"/>
          </w:tblCellMar>
        </w:tblPrEx>
        <w:trPr>
          <w:trHeight w:val="425" w:hRule="atLeast"/>
          <w:jc w:val="center"/>
        </w:trPr>
        <w:tc>
          <w:tcPr>
            <w:tcW w:w="22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振实密度</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≥0.7</w:t>
            </w:r>
          </w:p>
        </w:tc>
      </w:tr>
      <w:tr>
        <w:tblPrEx>
          <w:tblCellMar>
            <w:top w:w="0" w:type="dxa"/>
            <w:left w:w="108" w:type="dxa"/>
            <w:bottom w:w="0" w:type="dxa"/>
            <w:right w:w="108" w:type="dxa"/>
          </w:tblCellMar>
        </w:tblPrEx>
        <w:trPr>
          <w:trHeight w:val="425" w:hRule="atLeast"/>
          <w:jc w:val="center"/>
        </w:trPr>
        <w:tc>
          <w:tcPr>
            <w:tcW w:w="22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粒度D50</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7-15</w:t>
            </w:r>
          </w:p>
        </w:tc>
      </w:tr>
      <w:tr>
        <w:tblPrEx>
          <w:tblCellMar>
            <w:top w:w="0" w:type="dxa"/>
            <w:left w:w="108" w:type="dxa"/>
            <w:bottom w:w="0" w:type="dxa"/>
            <w:right w:w="108" w:type="dxa"/>
          </w:tblCellMar>
        </w:tblPrEx>
        <w:trPr>
          <w:trHeight w:val="425" w:hRule="atLeast"/>
          <w:jc w:val="center"/>
        </w:trPr>
        <w:tc>
          <w:tcPr>
            <w:tcW w:w="22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磁性物质</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≤100ppb</w:t>
            </w:r>
          </w:p>
        </w:tc>
      </w:tr>
      <w:tr>
        <w:tblPrEx>
          <w:tblCellMar>
            <w:top w:w="0" w:type="dxa"/>
            <w:left w:w="108" w:type="dxa"/>
            <w:bottom w:w="0" w:type="dxa"/>
            <w:right w:w="108" w:type="dxa"/>
          </w:tblCellMar>
        </w:tblPrEx>
        <w:trPr>
          <w:trHeight w:val="425" w:hRule="atLeast"/>
          <w:jc w:val="center"/>
        </w:trPr>
        <w:tc>
          <w:tcPr>
            <w:tcW w:w="22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水分</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≤500ppm</w:t>
            </w:r>
          </w:p>
        </w:tc>
      </w:tr>
      <w:tr>
        <w:tblPrEx>
          <w:tblCellMar>
            <w:top w:w="0" w:type="dxa"/>
            <w:left w:w="108" w:type="dxa"/>
            <w:bottom w:w="0" w:type="dxa"/>
            <w:right w:w="108" w:type="dxa"/>
          </w:tblCellMar>
        </w:tblPrEx>
        <w:trPr>
          <w:trHeight w:val="441" w:hRule="atLeast"/>
          <w:jc w:val="center"/>
        </w:trPr>
        <w:tc>
          <w:tcPr>
            <w:tcW w:w="22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扣电 0.2C可逆容量</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≥155mAh/g</w:t>
            </w:r>
          </w:p>
        </w:tc>
      </w:tr>
      <w:tr>
        <w:tblPrEx>
          <w:tblCellMar>
            <w:top w:w="0" w:type="dxa"/>
            <w:left w:w="108" w:type="dxa"/>
            <w:bottom w:w="0" w:type="dxa"/>
            <w:right w:w="108" w:type="dxa"/>
          </w:tblCellMar>
        </w:tblPrEx>
        <w:trPr>
          <w:trHeight w:val="441" w:hRule="atLeast"/>
          <w:jc w:val="center"/>
        </w:trPr>
        <w:tc>
          <w:tcPr>
            <w:tcW w:w="22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扣电 1C容量</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≥150mAh/g</w:t>
            </w:r>
          </w:p>
        </w:tc>
      </w:tr>
      <w:tr>
        <w:tblPrEx>
          <w:tblCellMar>
            <w:top w:w="0" w:type="dxa"/>
            <w:left w:w="108" w:type="dxa"/>
            <w:bottom w:w="0" w:type="dxa"/>
            <w:right w:w="108" w:type="dxa"/>
          </w:tblCellMar>
        </w:tblPrEx>
        <w:trPr>
          <w:trHeight w:val="441" w:hRule="atLeast"/>
          <w:jc w:val="center"/>
        </w:trPr>
        <w:tc>
          <w:tcPr>
            <w:tcW w:w="22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扣电 3C容量</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≥140mAh/g</w:t>
            </w:r>
          </w:p>
        </w:tc>
      </w:tr>
      <w:tr>
        <w:tblPrEx>
          <w:tblCellMar>
            <w:top w:w="0" w:type="dxa"/>
            <w:left w:w="108" w:type="dxa"/>
            <w:bottom w:w="0" w:type="dxa"/>
            <w:right w:w="108" w:type="dxa"/>
          </w:tblCellMar>
        </w:tblPrEx>
        <w:trPr>
          <w:trHeight w:val="441" w:hRule="atLeast"/>
          <w:jc w:val="center"/>
        </w:trPr>
        <w:tc>
          <w:tcPr>
            <w:tcW w:w="22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首次效率</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≥94%</w:t>
            </w:r>
          </w:p>
        </w:tc>
      </w:tr>
    </w:tbl>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p>
      <w:pPr>
        <w:overflowPunct w:val="0"/>
        <w:spacing w:line="360" w:lineRule="auto"/>
        <w:jc w:val="both"/>
        <w:outlineLvl w:val="0"/>
        <w:rPr>
          <w:kern w:val="0"/>
          <w:sz w:val="24"/>
          <w:szCs w:val="20"/>
        </w:rPr>
      </w:pPr>
    </w:p>
    <w:bookmarkEnd w:id="10"/>
    <w:bookmarkEnd w:id="11"/>
    <w:bookmarkEnd w:id="12"/>
    <w:p>
      <w:pPr>
        <w:overflowPunct w:val="0"/>
        <w:spacing w:line="360" w:lineRule="auto"/>
        <w:jc w:val="center"/>
        <w:outlineLvl w:val="0"/>
        <w:rPr>
          <w:rStyle w:val="36"/>
          <w:sz w:val="28"/>
          <w:szCs w:val="28"/>
        </w:rPr>
      </w:pPr>
      <w:r>
        <w:rPr>
          <w:rStyle w:val="36"/>
          <w:rFonts w:hint="eastAsia"/>
          <w:sz w:val="28"/>
          <w:szCs w:val="28"/>
        </w:rPr>
        <w:t>第四章 合同条款要求</w:t>
      </w:r>
    </w:p>
    <w:p>
      <w:pPr>
        <w:adjustRightInd w:val="0"/>
        <w:snapToGrid w:val="0"/>
        <w:spacing w:line="400" w:lineRule="exact"/>
        <w:jc w:val="center"/>
        <w:rPr>
          <w:rFonts w:hint="eastAsia"/>
          <w:b/>
          <w:spacing w:val="4"/>
          <w:sz w:val="36"/>
          <w:szCs w:val="36"/>
        </w:rPr>
      </w:pPr>
    </w:p>
    <w:p>
      <w:pPr>
        <w:adjustRightInd w:val="0"/>
        <w:snapToGrid w:val="0"/>
        <w:spacing w:line="400" w:lineRule="exact"/>
        <w:jc w:val="center"/>
        <w:rPr>
          <w:b/>
          <w:spacing w:val="4"/>
          <w:sz w:val="28"/>
          <w:szCs w:val="28"/>
        </w:rPr>
      </w:pPr>
      <w:r>
        <w:rPr>
          <w:rFonts w:hint="eastAsia"/>
          <w:b/>
          <w:spacing w:val="4"/>
          <w:sz w:val="28"/>
          <w:szCs w:val="28"/>
        </w:rPr>
        <w:t>采购框架协议</w:t>
      </w:r>
    </w:p>
    <w:p>
      <w:pPr>
        <w:adjustRightInd w:val="0"/>
        <w:snapToGrid w:val="0"/>
        <w:spacing w:line="400" w:lineRule="exact"/>
        <w:ind w:left="210" w:leftChars="100"/>
        <w:rPr>
          <w:rFonts w:ascii="宋体" w:hAnsi="宋体"/>
          <w:b/>
          <w:szCs w:val="21"/>
        </w:rPr>
      </w:pPr>
      <w:r>
        <w:rPr>
          <w:rFonts w:ascii="宋体" w:hAnsi="宋体"/>
          <w:b/>
          <w:szCs w:val="21"/>
        </w:rPr>
        <w:pict>
          <v:shape id="_x0000_s1026" o:spid="_x0000_s1026" o:spt="202" type="#_x0000_t202" style="position:absolute;left:0pt;margin-left:315.3pt;margin-top:16pt;height:40.5pt;width:159.75pt;z-index:251658240;mso-width-relative:page;mso-height-relative:page;" stroked="f" coordsize="21600,21600">
            <v:path/>
            <v:fill focussize="0,0"/>
            <v:stroke on="f" joinstyle="miter"/>
            <v:imagedata o:title=""/>
            <o:lock v:ext="edit"/>
            <v:textbox>
              <w:txbxContent>
                <w:p>
                  <w:pPr>
                    <w:adjustRightInd w:val="0"/>
                    <w:snapToGrid w:val="0"/>
                    <w:spacing w:line="360" w:lineRule="auto"/>
                    <w:rPr>
                      <w:rFonts w:ascii="宋体" w:hAnsi="宋体"/>
                      <w:spacing w:val="4"/>
                      <w:szCs w:val="20"/>
                    </w:rPr>
                  </w:pPr>
                  <w:r>
                    <w:rPr>
                      <w:rFonts w:hint="eastAsia" w:ascii="宋体" w:hAnsi="宋体"/>
                      <w:spacing w:val="4"/>
                      <w:szCs w:val="20"/>
                    </w:rPr>
                    <w:t>合同编号：</w:t>
                  </w:r>
                </w:p>
                <w:p>
                  <w:pPr>
                    <w:adjustRightInd w:val="0"/>
                    <w:snapToGrid w:val="0"/>
                    <w:spacing w:line="360" w:lineRule="auto"/>
                    <w:rPr>
                      <w:spacing w:val="4"/>
                      <w:sz w:val="18"/>
                      <w:szCs w:val="20"/>
                    </w:rPr>
                  </w:pPr>
                  <w:r>
                    <w:rPr>
                      <w:rFonts w:hint="eastAsia" w:ascii="宋体" w:hAnsi="宋体"/>
                      <w:spacing w:val="4"/>
                      <w:szCs w:val="20"/>
                    </w:rPr>
                    <w:t>签订日期：【】年【】月【】日</w:t>
                  </w:r>
                </w:p>
                <w:p/>
              </w:txbxContent>
            </v:textbox>
          </v:shape>
        </w:pict>
      </w:r>
    </w:p>
    <w:p>
      <w:pPr>
        <w:adjustRightInd w:val="0"/>
        <w:snapToGrid w:val="0"/>
        <w:spacing w:line="480" w:lineRule="auto"/>
        <w:ind w:left="210" w:leftChars="100"/>
        <w:rPr>
          <w:rFonts w:ascii="宋体" w:hAnsi="宋体"/>
          <w:b/>
          <w:szCs w:val="21"/>
        </w:rPr>
      </w:pPr>
      <w:r>
        <w:rPr>
          <w:rFonts w:hint="eastAsia" w:ascii="宋体" w:hAnsi="宋体"/>
          <w:b/>
          <w:szCs w:val="21"/>
        </w:rPr>
        <w:t>甲方：荣盛盟固利新能源科技有限公司</w:t>
      </w:r>
      <w:r>
        <w:rPr>
          <w:rFonts w:ascii="宋体" w:hAnsi="宋体"/>
          <w:b/>
          <w:szCs w:val="21"/>
        </w:rPr>
        <w:br w:type="textWrapping"/>
      </w:r>
      <w:r>
        <w:rPr>
          <w:rFonts w:hint="eastAsia" w:ascii="宋体" w:hAnsi="宋体"/>
          <w:b/>
          <w:szCs w:val="21"/>
        </w:rPr>
        <w:t>乙方：</w:t>
      </w:r>
      <w:r>
        <w:rPr>
          <w:rFonts w:ascii="宋体" w:hAnsi="宋体"/>
          <w:b/>
          <w:szCs w:val="21"/>
        </w:rPr>
        <w:t xml:space="preserve"> </w:t>
      </w:r>
    </w:p>
    <w:p>
      <w:pPr>
        <w:adjustRightInd w:val="0"/>
        <w:snapToGrid w:val="0"/>
        <w:spacing w:line="400" w:lineRule="exact"/>
        <w:ind w:firstLine="436" w:firstLineChars="200"/>
        <w:rPr>
          <w:rFonts w:ascii="宋体" w:hAnsi="宋体"/>
          <w:spacing w:val="4"/>
          <w:szCs w:val="21"/>
        </w:rPr>
      </w:pPr>
      <w:r>
        <w:rPr>
          <w:rFonts w:ascii="宋体" w:hAnsi="宋体"/>
          <w:spacing w:val="4"/>
          <w:szCs w:val="21"/>
        </w:rPr>
        <w:t>根据《中华人民共和国合同法》</w:t>
      </w:r>
      <w:r>
        <w:rPr>
          <w:rFonts w:hint="eastAsia" w:ascii="宋体" w:hAnsi="宋体"/>
          <w:spacing w:val="4"/>
          <w:szCs w:val="21"/>
        </w:rPr>
        <w:t>及</w:t>
      </w:r>
      <w:r>
        <w:rPr>
          <w:rFonts w:ascii="宋体" w:hAnsi="宋体"/>
          <w:spacing w:val="4"/>
          <w:szCs w:val="21"/>
        </w:rPr>
        <w:t>《中华人民共和国产品质量法》的有关规定，</w:t>
      </w:r>
      <w:r>
        <w:rPr>
          <w:rFonts w:hint="eastAsia" w:ascii="宋体" w:hAnsi="宋体"/>
          <w:spacing w:val="4"/>
          <w:szCs w:val="21"/>
        </w:rPr>
        <w:t>甲、乙</w:t>
      </w:r>
      <w:r>
        <w:rPr>
          <w:rFonts w:ascii="宋体" w:hAnsi="宋体"/>
          <w:spacing w:val="4"/>
          <w:szCs w:val="21"/>
        </w:rPr>
        <w:t>双方在平等自愿的基础上，就以下产品购销事宜达成如下一致协议</w:t>
      </w:r>
      <w:r>
        <w:rPr>
          <w:rFonts w:hint="eastAsia" w:ascii="宋体" w:hAnsi="宋体"/>
          <w:spacing w:val="4"/>
          <w:szCs w:val="21"/>
        </w:rPr>
        <w:t>：</w:t>
      </w:r>
    </w:p>
    <w:p>
      <w:pPr>
        <w:pStyle w:val="40"/>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总则：</w:t>
      </w:r>
    </w:p>
    <w:p>
      <w:pPr>
        <w:numPr>
          <w:ilvl w:val="0"/>
          <w:numId w:val="7"/>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1 乙方保证全部按照合同条款规定的交期向甲方提供合格的产品和服务。</w:t>
      </w:r>
    </w:p>
    <w:p>
      <w:pPr>
        <w:numPr>
          <w:ilvl w:val="0"/>
          <w:numId w:val="8"/>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2 甲方保证按照合同条款规定的时间和方式给乙方支付应付的货款。</w:t>
      </w:r>
    </w:p>
    <w:p>
      <w:pPr>
        <w:numPr>
          <w:ilvl w:val="0"/>
          <w:numId w:val="9"/>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3 双方签订的《技术协议》、《质量协议》和采购订单是本协议不可分割的一部分</w:t>
      </w:r>
      <w:r>
        <w:rPr>
          <w:rFonts w:hint="eastAsia" w:asciiTheme="minorEastAsia" w:hAnsiTheme="minorEastAsia" w:eastAsiaTheme="minorEastAsia"/>
          <w:spacing w:val="4"/>
          <w:szCs w:val="21"/>
        </w:rPr>
        <w:t>，与本协议具有同等法律效力</w:t>
      </w:r>
      <w:r>
        <w:rPr>
          <w:rFonts w:hint="eastAsia" w:ascii="宋体" w:hAnsi="宋体"/>
          <w:spacing w:val="4"/>
          <w:szCs w:val="21"/>
        </w:rPr>
        <w:t>。</w:t>
      </w:r>
    </w:p>
    <w:p>
      <w:pPr>
        <w:pStyle w:val="40"/>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产品名称、型号价格：</w:t>
      </w:r>
    </w:p>
    <w:p>
      <w:pPr>
        <w:adjustRightInd w:val="0"/>
        <w:snapToGrid w:val="0"/>
        <w:spacing w:line="400" w:lineRule="exact"/>
        <w:ind w:left="441" w:leftChars="210"/>
        <w:rPr>
          <w:rFonts w:hint="eastAsia" w:ascii="宋体" w:hAnsi="宋体"/>
          <w:bCs/>
          <w:spacing w:val="4"/>
          <w:szCs w:val="21"/>
        </w:rPr>
      </w:pPr>
      <w:r>
        <w:rPr>
          <w:rFonts w:hint="eastAsia" w:ascii="宋体" w:hAnsi="宋体"/>
          <w:bCs/>
          <w:spacing w:val="4"/>
          <w:szCs w:val="21"/>
        </w:rPr>
        <w:t>2.1 供货明细表（到厂价，含13%增值税）</w:t>
      </w:r>
    </w:p>
    <w:tbl>
      <w:tblPr>
        <w:tblStyle w:val="23"/>
        <w:tblpPr w:leftFromText="180" w:rightFromText="180" w:vertAnchor="text" w:horzAnchor="margin" w:tblpXSpec="center" w:tblpY="666"/>
        <w:tblOverlap w:val="never"/>
        <w:tblW w:w="8757"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777"/>
        <w:gridCol w:w="1020"/>
        <w:gridCol w:w="1621"/>
        <w:gridCol w:w="1735"/>
        <w:gridCol w:w="129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016" w:type="dxa"/>
            <w:vAlign w:val="top"/>
          </w:tcPr>
          <w:p>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序号</w:t>
            </w:r>
          </w:p>
        </w:tc>
        <w:tc>
          <w:tcPr>
            <w:tcW w:w="777" w:type="dxa"/>
            <w:vAlign w:val="top"/>
          </w:tcPr>
          <w:p>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名称</w:t>
            </w:r>
          </w:p>
        </w:tc>
        <w:tc>
          <w:tcPr>
            <w:tcW w:w="1020" w:type="dxa"/>
            <w:vAlign w:val="top"/>
          </w:tcPr>
          <w:p>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规格</w:t>
            </w:r>
          </w:p>
        </w:tc>
        <w:tc>
          <w:tcPr>
            <w:tcW w:w="1621" w:type="dxa"/>
            <w:vAlign w:val="top"/>
          </w:tcPr>
          <w:p>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原材料价格核算公式（上海有色金属网）</w:t>
            </w:r>
          </w:p>
        </w:tc>
        <w:tc>
          <w:tcPr>
            <w:tcW w:w="1735" w:type="dxa"/>
            <w:vAlign w:val="top"/>
          </w:tcPr>
          <w:p>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加工费（元/公斤）</w:t>
            </w:r>
          </w:p>
        </w:tc>
        <w:tc>
          <w:tcPr>
            <w:tcW w:w="1294" w:type="dxa"/>
            <w:vAlign w:val="top"/>
          </w:tcPr>
          <w:p>
            <w:pPr>
              <w:spacing w:line="40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付电汇贴息比例</w:t>
            </w:r>
          </w:p>
        </w:tc>
        <w:tc>
          <w:tcPr>
            <w:tcW w:w="1294" w:type="dxa"/>
            <w:vAlign w:val="top"/>
          </w:tcPr>
          <w:p>
            <w:pPr>
              <w:spacing w:line="400" w:lineRule="exact"/>
              <w:jc w:val="both"/>
              <w:rPr>
                <w:rFonts w:ascii="宋体" w:hAnsi="宋体" w:eastAsia="宋体" w:cs="宋体"/>
                <w:kern w:val="0"/>
                <w:szCs w:val="21"/>
              </w:rPr>
            </w:pPr>
            <w:r>
              <w:rPr>
                <w:rFonts w:hint="eastAsia" w:ascii="宋体" w:hAnsi="宋体" w:cs="宋体"/>
                <w:kern w:val="0"/>
                <w:szCs w:val="21"/>
                <w:lang w:val="en-US" w:eastAsia="zh-CN"/>
              </w:rPr>
              <w:t xml:space="preserve">  </w:t>
            </w:r>
            <w:r>
              <w:rPr>
                <w:rFonts w:hint="eastAsia" w:ascii="宋体" w:hAnsi="宋体" w:eastAsia="宋体" w:cs="宋体"/>
                <w:kern w:val="0"/>
                <w:szCs w:val="21"/>
              </w:rPr>
              <w:t>月供应量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16" w:type="dxa"/>
            <w:vAlign w:val="top"/>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777" w:type="dxa"/>
            <w:vAlign w:val="top"/>
          </w:tcPr>
          <w:p>
            <w:pPr>
              <w:spacing w:line="400" w:lineRule="exact"/>
              <w:jc w:val="center"/>
              <w:rPr>
                <w:rFonts w:ascii="宋体" w:hAnsi="宋体" w:eastAsia="宋体" w:cs="宋体"/>
                <w:szCs w:val="21"/>
              </w:rPr>
            </w:pPr>
          </w:p>
        </w:tc>
        <w:tc>
          <w:tcPr>
            <w:tcW w:w="1020" w:type="dxa"/>
            <w:vAlign w:val="top"/>
          </w:tcPr>
          <w:p>
            <w:pPr>
              <w:spacing w:line="400" w:lineRule="exact"/>
              <w:jc w:val="center"/>
              <w:rPr>
                <w:rFonts w:ascii="宋体" w:hAnsi="宋体" w:eastAsia="宋体" w:cs="宋体"/>
                <w:szCs w:val="21"/>
              </w:rPr>
            </w:pPr>
          </w:p>
        </w:tc>
        <w:tc>
          <w:tcPr>
            <w:tcW w:w="1621" w:type="dxa"/>
            <w:vAlign w:val="top"/>
          </w:tcPr>
          <w:p>
            <w:pPr>
              <w:autoSpaceDN w:val="0"/>
              <w:spacing w:line="400" w:lineRule="exact"/>
              <w:jc w:val="center"/>
              <w:textAlignment w:val="center"/>
              <w:rPr>
                <w:rFonts w:ascii="宋体" w:hAnsi="宋体" w:eastAsia="宋体" w:cs="宋体"/>
                <w:szCs w:val="21"/>
              </w:rPr>
            </w:pPr>
          </w:p>
        </w:tc>
        <w:tc>
          <w:tcPr>
            <w:tcW w:w="1735" w:type="dxa"/>
            <w:vAlign w:val="top"/>
          </w:tcPr>
          <w:p>
            <w:pPr>
              <w:autoSpaceDN w:val="0"/>
              <w:spacing w:line="400" w:lineRule="exact"/>
              <w:jc w:val="center"/>
              <w:textAlignment w:val="center"/>
              <w:rPr>
                <w:rFonts w:ascii="宋体" w:hAnsi="宋体" w:eastAsia="宋体" w:cs="宋体"/>
                <w:szCs w:val="21"/>
              </w:rPr>
            </w:pPr>
          </w:p>
        </w:tc>
        <w:tc>
          <w:tcPr>
            <w:tcW w:w="1294" w:type="dxa"/>
            <w:vMerge w:val="restart"/>
            <w:vAlign w:val="center"/>
          </w:tcPr>
          <w:p>
            <w:pPr>
              <w:autoSpaceDN w:val="0"/>
              <w:spacing w:line="400" w:lineRule="exact"/>
              <w:jc w:val="both"/>
              <w:textAlignment w:val="center"/>
              <w:rPr>
                <w:rFonts w:ascii="宋体" w:hAnsi="宋体" w:eastAsia="宋体" w:cs="宋体"/>
                <w:szCs w:val="21"/>
              </w:rPr>
            </w:pPr>
            <w:r>
              <w:rPr>
                <w:rFonts w:hint="eastAsia" w:ascii="宋体" w:hAnsi="宋体" w:cs="宋体"/>
                <w:szCs w:val="21"/>
                <w:highlight w:val="none"/>
                <w:lang w:val="en-US" w:eastAsia="zh-CN"/>
              </w:rPr>
              <w:t>不低于2%</w:t>
            </w:r>
          </w:p>
        </w:tc>
        <w:tc>
          <w:tcPr>
            <w:tcW w:w="1294" w:type="dxa"/>
            <w:vAlign w:val="top"/>
          </w:tcPr>
          <w:p>
            <w:pPr>
              <w:autoSpaceDN w:val="0"/>
              <w:spacing w:line="400" w:lineRule="exact"/>
              <w:ind w:left="390"/>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16" w:type="dxa"/>
            <w:vAlign w:val="top"/>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777" w:type="dxa"/>
            <w:vAlign w:val="top"/>
          </w:tcPr>
          <w:p>
            <w:pPr>
              <w:spacing w:line="400" w:lineRule="exact"/>
              <w:jc w:val="center"/>
              <w:rPr>
                <w:rFonts w:ascii="宋体" w:hAnsi="宋体" w:eastAsia="宋体" w:cs="宋体"/>
                <w:szCs w:val="21"/>
              </w:rPr>
            </w:pPr>
          </w:p>
        </w:tc>
        <w:tc>
          <w:tcPr>
            <w:tcW w:w="1020" w:type="dxa"/>
            <w:vAlign w:val="top"/>
          </w:tcPr>
          <w:p>
            <w:pPr>
              <w:spacing w:line="400" w:lineRule="exact"/>
              <w:jc w:val="center"/>
              <w:rPr>
                <w:rFonts w:ascii="宋体" w:hAnsi="宋体" w:eastAsia="宋体" w:cs="宋体"/>
                <w:szCs w:val="21"/>
              </w:rPr>
            </w:pPr>
          </w:p>
        </w:tc>
        <w:tc>
          <w:tcPr>
            <w:tcW w:w="1621" w:type="dxa"/>
            <w:vAlign w:val="top"/>
          </w:tcPr>
          <w:p>
            <w:pPr>
              <w:autoSpaceDN w:val="0"/>
              <w:spacing w:line="400" w:lineRule="exact"/>
              <w:jc w:val="center"/>
              <w:textAlignment w:val="center"/>
              <w:rPr>
                <w:rFonts w:ascii="宋体" w:hAnsi="宋体" w:eastAsia="宋体" w:cs="宋体"/>
                <w:szCs w:val="21"/>
              </w:rPr>
            </w:pPr>
          </w:p>
        </w:tc>
        <w:tc>
          <w:tcPr>
            <w:tcW w:w="1735" w:type="dxa"/>
            <w:vAlign w:val="top"/>
          </w:tcPr>
          <w:p>
            <w:pPr>
              <w:autoSpaceDN w:val="0"/>
              <w:spacing w:line="400" w:lineRule="exact"/>
              <w:jc w:val="center"/>
              <w:textAlignment w:val="center"/>
              <w:rPr>
                <w:rFonts w:ascii="宋体" w:hAnsi="宋体" w:eastAsia="宋体" w:cs="宋体"/>
                <w:szCs w:val="21"/>
              </w:rPr>
            </w:pPr>
          </w:p>
        </w:tc>
        <w:tc>
          <w:tcPr>
            <w:tcW w:w="1294" w:type="dxa"/>
            <w:vMerge w:val="continue"/>
            <w:vAlign w:val="top"/>
          </w:tcPr>
          <w:p>
            <w:pPr>
              <w:autoSpaceDN w:val="0"/>
              <w:spacing w:line="400" w:lineRule="exact"/>
              <w:ind w:left="390"/>
              <w:jc w:val="center"/>
              <w:textAlignment w:val="center"/>
              <w:rPr>
                <w:rFonts w:ascii="宋体" w:hAnsi="宋体" w:eastAsia="宋体" w:cs="宋体"/>
                <w:szCs w:val="21"/>
              </w:rPr>
            </w:pPr>
          </w:p>
        </w:tc>
        <w:tc>
          <w:tcPr>
            <w:tcW w:w="1294" w:type="dxa"/>
            <w:vAlign w:val="top"/>
          </w:tcPr>
          <w:p>
            <w:pPr>
              <w:autoSpaceDN w:val="0"/>
              <w:spacing w:line="400" w:lineRule="exact"/>
              <w:ind w:left="390"/>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016" w:type="dxa"/>
            <w:vAlign w:val="top"/>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w:t>
            </w:r>
          </w:p>
        </w:tc>
        <w:tc>
          <w:tcPr>
            <w:tcW w:w="777" w:type="dxa"/>
            <w:vAlign w:val="top"/>
          </w:tcPr>
          <w:p>
            <w:pPr>
              <w:spacing w:line="400" w:lineRule="exact"/>
              <w:jc w:val="center"/>
              <w:rPr>
                <w:rFonts w:ascii="宋体" w:hAnsi="宋体" w:eastAsia="宋体" w:cs="宋体"/>
                <w:szCs w:val="21"/>
              </w:rPr>
            </w:pPr>
          </w:p>
        </w:tc>
        <w:tc>
          <w:tcPr>
            <w:tcW w:w="1020" w:type="dxa"/>
            <w:vAlign w:val="top"/>
          </w:tcPr>
          <w:p>
            <w:pPr>
              <w:spacing w:line="400" w:lineRule="exact"/>
              <w:jc w:val="center"/>
              <w:rPr>
                <w:rFonts w:ascii="宋体" w:hAnsi="宋体" w:eastAsia="宋体" w:cs="宋体"/>
                <w:szCs w:val="21"/>
              </w:rPr>
            </w:pPr>
          </w:p>
        </w:tc>
        <w:tc>
          <w:tcPr>
            <w:tcW w:w="1621" w:type="dxa"/>
            <w:vAlign w:val="top"/>
          </w:tcPr>
          <w:p>
            <w:pPr>
              <w:autoSpaceDN w:val="0"/>
              <w:spacing w:line="400" w:lineRule="exact"/>
              <w:jc w:val="center"/>
              <w:textAlignment w:val="center"/>
              <w:rPr>
                <w:rFonts w:ascii="宋体" w:hAnsi="宋体" w:eastAsia="宋体" w:cs="宋体"/>
                <w:szCs w:val="21"/>
              </w:rPr>
            </w:pPr>
          </w:p>
        </w:tc>
        <w:tc>
          <w:tcPr>
            <w:tcW w:w="1735" w:type="dxa"/>
            <w:vAlign w:val="top"/>
          </w:tcPr>
          <w:p>
            <w:pPr>
              <w:autoSpaceDN w:val="0"/>
              <w:spacing w:line="400" w:lineRule="exact"/>
              <w:jc w:val="center"/>
              <w:textAlignment w:val="center"/>
              <w:rPr>
                <w:rFonts w:ascii="宋体" w:hAnsi="宋体" w:eastAsia="宋体" w:cs="宋体"/>
                <w:szCs w:val="21"/>
              </w:rPr>
            </w:pPr>
          </w:p>
        </w:tc>
        <w:tc>
          <w:tcPr>
            <w:tcW w:w="1294" w:type="dxa"/>
            <w:vMerge w:val="continue"/>
            <w:vAlign w:val="top"/>
          </w:tcPr>
          <w:p>
            <w:pPr>
              <w:autoSpaceDN w:val="0"/>
              <w:spacing w:line="400" w:lineRule="exact"/>
              <w:ind w:left="390"/>
              <w:jc w:val="center"/>
              <w:textAlignment w:val="center"/>
              <w:rPr>
                <w:rFonts w:ascii="宋体" w:hAnsi="宋体" w:eastAsia="宋体" w:cs="宋体"/>
                <w:szCs w:val="21"/>
              </w:rPr>
            </w:pPr>
          </w:p>
        </w:tc>
        <w:tc>
          <w:tcPr>
            <w:tcW w:w="1294" w:type="dxa"/>
            <w:vAlign w:val="top"/>
          </w:tcPr>
          <w:p>
            <w:pPr>
              <w:autoSpaceDN w:val="0"/>
              <w:spacing w:line="400" w:lineRule="exact"/>
              <w:ind w:left="390"/>
              <w:jc w:val="center"/>
              <w:textAlignment w:val="center"/>
              <w:rPr>
                <w:rFonts w:ascii="宋体" w:hAnsi="宋体" w:eastAsia="宋体" w:cs="宋体"/>
                <w:szCs w:val="21"/>
              </w:rPr>
            </w:pPr>
          </w:p>
        </w:tc>
      </w:tr>
    </w:tbl>
    <w:p>
      <w:pPr>
        <w:adjustRightInd w:val="0"/>
        <w:snapToGrid w:val="0"/>
        <w:spacing w:line="400" w:lineRule="exact"/>
        <w:rPr>
          <w:rFonts w:hint="eastAsia" w:ascii="宋体" w:hAnsi="宋体"/>
          <w:bCs/>
          <w:spacing w:val="4"/>
          <w:szCs w:val="21"/>
        </w:rPr>
      </w:pPr>
    </w:p>
    <w:p>
      <w:pPr>
        <w:spacing w:line="400" w:lineRule="exact"/>
        <w:ind w:firstLine="422" w:firstLineChars="200"/>
        <w:rPr>
          <w:rFonts w:ascii="宋体" w:hAnsi="宋体" w:eastAsia="宋体"/>
          <w:b/>
          <w:bCs/>
          <w:szCs w:val="21"/>
        </w:rPr>
      </w:pPr>
      <w:r>
        <w:rPr>
          <w:rFonts w:hint="eastAsia" w:ascii="宋体" w:hAnsi="宋体" w:eastAsia="宋体"/>
          <w:b/>
          <w:bCs/>
          <w:szCs w:val="21"/>
        </w:rPr>
        <w:t>备注</w:t>
      </w:r>
      <w:r>
        <w:rPr>
          <w:rFonts w:hint="eastAsia" w:ascii="宋体" w:hAnsi="宋体"/>
          <w:b/>
          <w:bCs/>
          <w:szCs w:val="21"/>
          <w:lang w:val="en-US" w:eastAsia="zh-CN"/>
        </w:rPr>
        <w:t>1</w:t>
      </w:r>
      <w:r>
        <w:rPr>
          <w:rFonts w:hint="eastAsia" w:ascii="宋体" w:hAnsi="宋体" w:eastAsia="宋体"/>
          <w:b/>
          <w:bCs/>
          <w:szCs w:val="21"/>
        </w:rPr>
        <w:t>：A.加工费:除原材料成本以外的加工成本、管理成本、利润、税收等费用</w:t>
      </w:r>
      <w:r>
        <w:rPr>
          <w:rFonts w:hint="eastAsia" w:ascii="宋体" w:hAnsi="宋体"/>
          <w:b/>
          <w:bCs/>
          <w:szCs w:val="21"/>
          <w:lang w:val="en-US" w:eastAsia="zh-CN"/>
        </w:rPr>
        <w:t>总和</w:t>
      </w:r>
      <w:r>
        <w:rPr>
          <w:rFonts w:hint="eastAsia" w:ascii="宋体" w:hAnsi="宋体" w:eastAsia="宋体"/>
          <w:b/>
          <w:bCs/>
          <w:szCs w:val="21"/>
        </w:rPr>
        <w:t>。</w:t>
      </w:r>
    </w:p>
    <w:p>
      <w:pPr>
        <w:spacing w:line="400" w:lineRule="exact"/>
        <w:ind w:firstLine="1265" w:firstLineChars="600"/>
        <w:rPr>
          <w:rFonts w:hint="eastAsia" w:ascii="宋体" w:hAnsi="宋体"/>
          <w:b/>
          <w:bCs/>
          <w:szCs w:val="21"/>
          <w:lang w:eastAsia="zh-CN"/>
        </w:rPr>
      </w:pPr>
      <w:r>
        <w:rPr>
          <w:rFonts w:ascii="宋体" w:hAnsi="宋体" w:eastAsia="宋体"/>
          <w:b/>
          <w:bCs/>
          <w:szCs w:val="21"/>
        </w:rPr>
        <w:t>B</w:t>
      </w:r>
      <w:r>
        <w:rPr>
          <w:rFonts w:hint="eastAsia" w:ascii="宋体" w:hAnsi="宋体" w:eastAsia="宋体"/>
          <w:b/>
          <w:bCs/>
          <w:szCs w:val="21"/>
        </w:rPr>
        <w:t>.月供应量:乙方可供给甲方的每月产品用量而非乙方的产能</w:t>
      </w:r>
      <w:r>
        <w:rPr>
          <w:rFonts w:hint="eastAsia" w:ascii="宋体" w:hAnsi="宋体"/>
          <w:b/>
          <w:bCs/>
          <w:szCs w:val="21"/>
          <w:lang w:eastAsia="zh-CN"/>
        </w:rPr>
        <w:t>。</w:t>
      </w:r>
    </w:p>
    <w:p>
      <w:pPr>
        <w:spacing w:line="400" w:lineRule="exact"/>
        <w:ind w:firstLine="1265" w:firstLineChars="600"/>
        <w:rPr>
          <w:rFonts w:hint="eastAsia" w:ascii="宋体" w:hAnsi="宋体" w:cs="宋体"/>
          <w:b/>
          <w:bCs/>
          <w:kern w:val="0"/>
          <w:szCs w:val="21"/>
          <w:lang w:val="en-US" w:eastAsia="zh-CN"/>
        </w:rPr>
      </w:pPr>
      <w:r>
        <w:rPr>
          <w:rFonts w:hint="eastAsia" w:ascii="宋体" w:hAnsi="宋体"/>
          <w:b/>
          <w:bCs/>
          <w:szCs w:val="21"/>
          <w:lang w:val="en-US" w:eastAsia="zh-CN"/>
        </w:rPr>
        <w:t>C.原材料</w:t>
      </w:r>
      <w:r>
        <w:rPr>
          <w:rFonts w:hint="eastAsia" w:ascii="宋体" w:hAnsi="宋体" w:cs="宋体"/>
          <w:b/>
          <w:bCs/>
          <w:kern w:val="0"/>
          <w:szCs w:val="21"/>
          <w:lang w:val="en-US" w:eastAsia="zh-CN"/>
        </w:rPr>
        <w:t>价格核算方式为上月平均价。</w:t>
      </w:r>
    </w:p>
    <w:p>
      <w:pPr>
        <w:spacing w:line="400" w:lineRule="exact"/>
        <w:ind w:firstLine="422" w:firstLineChars="200"/>
        <w:rPr>
          <w:rFonts w:ascii="宋体" w:hAnsi="宋体" w:eastAsia="宋体"/>
          <w:szCs w:val="21"/>
        </w:rPr>
      </w:pPr>
      <w:r>
        <w:rPr>
          <w:rFonts w:hint="eastAsia" w:ascii="宋体" w:hAnsi="宋体" w:eastAsia="宋体"/>
          <w:b/>
          <w:bCs/>
          <w:color w:val="000000" w:themeColor="text1"/>
          <w:szCs w:val="21"/>
        </w:rPr>
        <w:t>2.2</w:t>
      </w:r>
      <w:r>
        <w:rPr>
          <w:rFonts w:hint="eastAsia" w:ascii="宋体" w:hAnsi="宋体" w:eastAsia="宋体"/>
          <w:color w:val="000000" w:themeColor="text1"/>
          <w:szCs w:val="21"/>
        </w:rPr>
        <w:t>本协议为固定加工费合同，双方一致同意在合同有效期内全年执行加工费不高于上述标准</w:t>
      </w:r>
      <w:r>
        <w:rPr>
          <w:rFonts w:hint="eastAsia" w:ascii="宋体" w:hAnsi="宋体" w:eastAsia="宋体"/>
          <w:szCs w:val="21"/>
        </w:rPr>
        <w:t>，未经双方协商一致同意，乙方不得擅自提高上述任一产品的加工费。甲方按照实际需求向乙方发出采购订单，乙方确保在采购订单规定的时间内送达货物至甲方指定库房或者指定收货人。</w:t>
      </w:r>
    </w:p>
    <w:p>
      <w:pPr>
        <w:spacing w:line="400" w:lineRule="exact"/>
        <w:ind w:firstLine="1265" w:firstLineChars="600"/>
        <w:rPr>
          <w:rFonts w:hint="eastAsia" w:ascii="宋体" w:hAnsi="宋体" w:cs="宋体"/>
          <w:b/>
          <w:bCs/>
          <w:kern w:val="0"/>
          <w:szCs w:val="21"/>
          <w:lang w:val="en-US" w:eastAsia="zh-CN"/>
        </w:rPr>
      </w:pPr>
    </w:p>
    <w:p>
      <w:pPr>
        <w:spacing w:line="400" w:lineRule="exact"/>
        <w:ind w:firstLine="420" w:firstLineChars="200"/>
        <w:rPr>
          <w:rFonts w:ascii="宋体" w:hAnsi="宋体"/>
          <w:szCs w:val="21"/>
        </w:rPr>
      </w:pPr>
      <w:r>
        <w:rPr>
          <w:rFonts w:hint="eastAsia" w:ascii="宋体" w:hAnsi="宋体"/>
          <w:bCs/>
          <w:szCs w:val="21"/>
        </w:rPr>
        <w:t>2.</w:t>
      </w:r>
      <w:r>
        <w:rPr>
          <w:rFonts w:hint="eastAsia" w:ascii="宋体" w:hAnsi="宋体"/>
          <w:bCs/>
          <w:szCs w:val="21"/>
          <w:lang w:val="en-US" w:eastAsia="zh-CN"/>
        </w:rPr>
        <w:t>3</w:t>
      </w:r>
      <w:r>
        <w:rPr>
          <w:rFonts w:hint="eastAsia" w:ascii="宋体" w:hAnsi="宋体"/>
          <w:szCs w:val="21"/>
        </w:rPr>
        <w:t>本协议为固定单价合同，甲方按照实际需求向乙方发出采购订单，乙方确保在采购订单规定的时间内送达产品至甲方指定库房或者指定收货人。</w:t>
      </w:r>
    </w:p>
    <w:p>
      <w:pPr>
        <w:spacing w:line="400" w:lineRule="exact"/>
        <w:ind w:firstLine="420" w:firstLineChars="200"/>
        <w:rPr>
          <w:rFonts w:hint="eastAsia" w:ascii="宋体" w:hAnsi="宋体"/>
          <w:szCs w:val="21"/>
        </w:rPr>
      </w:pPr>
      <w:r>
        <w:rPr>
          <w:rFonts w:hint="eastAsia" w:ascii="宋体" w:hAnsi="宋体"/>
          <w:szCs w:val="21"/>
        </w:rPr>
        <w:t>甲方按照实际需求向乙方发出采购订单，乙方确保在采购订单规定的时间内送达产品至甲方指定库房或者指定收货人。</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4</w:t>
      </w:r>
      <w:r>
        <w:rPr>
          <w:rFonts w:hint="eastAsia" w:ascii="宋体" w:hAnsi="宋体"/>
          <w:szCs w:val="21"/>
          <w:highlight w:val="none"/>
        </w:rPr>
        <w:t>年中（6月份）和年底（12月份）可以议价，价格不许高于以往价格。</w:t>
      </w:r>
    </w:p>
    <w:p>
      <w:pPr>
        <w:adjustRightInd w:val="0"/>
        <w:snapToGrid w:val="0"/>
        <w:spacing w:line="400" w:lineRule="exact"/>
        <w:ind w:firstLine="420" w:firstLineChars="200"/>
        <w:rPr>
          <w:rFonts w:ascii="宋体" w:hAnsi="宋体"/>
          <w:szCs w:val="21"/>
          <w:lang w:val="zh-CN"/>
        </w:rPr>
      </w:pPr>
      <w:r>
        <w:rPr>
          <w:rFonts w:hint="eastAsia" w:ascii="宋体" w:hAnsi="宋体"/>
          <w:szCs w:val="21"/>
        </w:rPr>
        <w:t>2.</w:t>
      </w:r>
      <w:r>
        <w:rPr>
          <w:rFonts w:hint="eastAsia" w:ascii="宋体" w:hAnsi="宋体"/>
          <w:szCs w:val="21"/>
          <w:lang w:val="en-US" w:eastAsia="zh-CN"/>
        </w:rPr>
        <w:t>5</w:t>
      </w:r>
      <w:r>
        <w:rPr>
          <w:rFonts w:hint="eastAsia" w:ascii="宋体" w:hAnsi="宋体"/>
          <w:szCs w:val="21"/>
          <w:lang w:val="zh-CN"/>
        </w:rPr>
        <w:t xml:space="preserve">甲方依据其需求情况，可以向乙方提供后续阶段的采购预测，此采购预测仅供乙方了解甲方后续需求情况之用。乙方应依据需求预测保障一定的供应弹性，进行合理备料，以满足甲方的需求预测。 </w:t>
      </w:r>
    </w:p>
    <w:p>
      <w:pPr>
        <w:spacing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乙方生产上述产品所使用的原材料型号、厂家由甲乙双方共同确定，非经甲方同意，乙方不得擅自变更。</w:t>
      </w:r>
    </w:p>
    <w:p>
      <w:pPr>
        <w:adjustRightInd w:val="0"/>
        <w:snapToGrid w:val="0"/>
        <w:spacing w:line="400" w:lineRule="exact"/>
        <w:rPr>
          <w:rFonts w:ascii="宋体" w:hAnsi="宋体"/>
          <w:b/>
          <w:bCs/>
          <w:spacing w:val="4"/>
          <w:szCs w:val="21"/>
        </w:rPr>
      </w:pPr>
      <w:r>
        <w:rPr>
          <w:rFonts w:hint="eastAsia" w:ascii="宋体" w:hAnsi="宋体"/>
          <w:b/>
          <w:bCs/>
          <w:spacing w:val="4"/>
          <w:szCs w:val="21"/>
        </w:rPr>
        <w:t>3、采购订单</w:t>
      </w:r>
    </w:p>
    <w:p>
      <w:pPr>
        <w:spacing w:line="400" w:lineRule="exact"/>
        <w:ind w:firstLine="420" w:firstLineChars="200"/>
        <w:rPr>
          <w:rFonts w:ascii="宋体" w:hAnsi="宋体"/>
          <w:szCs w:val="21"/>
        </w:rPr>
      </w:pPr>
      <w:r>
        <w:rPr>
          <w:rFonts w:hint="eastAsia" w:ascii="宋体" w:hAnsi="宋体"/>
          <w:szCs w:val="21"/>
        </w:rPr>
        <w:t>3.1甲方根据需求向乙方发出采购订单，并在采购订单上注明所需产品的品名、规格型号、数量、币种、价格、交货期限和交货地点等。</w:t>
      </w:r>
      <w:bookmarkStart w:id="62" w:name="_Hlk508969622"/>
      <w:r>
        <w:rPr>
          <w:rFonts w:hint="eastAsia" w:ascii="宋体" w:hAnsi="宋体"/>
          <w:szCs w:val="21"/>
        </w:rPr>
        <w:t>采购订单为本协议的有效组成部分，受本协议条款的约束。</w:t>
      </w:r>
      <w:bookmarkEnd w:id="62"/>
    </w:p>
    <w:p>
      <w:pPr>
        <w:spacing w:line="400" w:lineRule="exact"/>
        <w:ind w:firstLine="420" w:firstLineChars="200"/>
        <w:rPr>
          <w:rFonts w:ascii="宋体" w:hAnsi="宋体"/>
          <w:szCs w:val="21"/>
        </w:rPr>
      </w:pPr>
      <w:r>
        <w:rPr>
          <w:rFonts w:hint="eastAsia" w:ascii="宋体" w:hAnsi="宋体"/>
          <w:szCs w:val="21"/>
        </w:rPr>
        <w:t xml:space="preserve">3.2采购订单发出后，乙方应在24小时（如该订单另有规定时效，则以订单规定时效为准）内向甲方确认接受采购订单，接受的形式为对采购订单内容不做任何修改，签字并加盖乙方公章后通过传真或电子邮件将扫描的采购订单发给甲方。如乙方不接受该采购订单，应在前述期间内提出异议；逾期则视为乙方接受该采购订单。若乙方对采购订单内容有异议，则经双方协商一致后由甲方重新做出采购订单,原采购订单作废。 </w:t>
      </w:r>
    </w:p>
    <w:p>
      <w:pPr>
        <w:spacing w:line="400" w:lineRule="exact"/>
        <w:ind w:firstLine="420" w:firstLineChars="200"/>
        <w:rPr>
          <w:rFonts w:ascii="宋体" w:hAnsi="宋体"/>
          <w:szCs w:val="21"/>
        </w:rPr>
      </w:pPr>
      <w:r>
        <w:rPr>
          <w:rFonts w:hint="eastAsia" w:ascii="宋体" w:hAnsi="宋体"/>
          <w:szCs w:val="21"/>
        </w:rPr>
        <w:t>3.3由于市场变化或其它不可预测因素导致甲方对产品需求发生变化，甲方可以在乙方装运日期或发货日期的48小时以前撤销该采购订单的部分或者全部，并尽量在后续的采购订单中吸收被撤销的采购订单备料，具体相关事宜由双方另行协商确定。</w:t>
      </w:r>
    </w:p>
    <w:p>
      <w:pPr>
        <w:spacing w:line="400" w:lineRule="exact"/>
        <w:ind w:firstLine="420" w:firstLineChars="200"/>
        <w:rPr>
          <w:rFonts w:ascii="宋体" w:hAnsi="宋体"/>
          <w:szCs w:val="21"/>
        </w:rPr>
      </w:pPr>
      <w:r>
        <w:rPr>
          <w:rFonts w:hint="eastAsia" w:ascii="宋体" w:hAnsi="宋体"/>
          <w:szCs w:val="21"/>
        </w:rPr>
        <w:t>3.4因乙方产品出现质量问题且此问题在短时间内无法解决，甲方</w:t>
      </w:r>
      <w:r>
        <w:rPr>
          <w:rFonts w:hint="eastAsia" w:asciiTheme="minorEastAsia" w:hAnsiTheme="minorEastAsia" w:eastAsiaTheme="minorEastAsia"/>
          <w:szCs w:val="21"/>
        </w:rPr>
        <w:t>有权</w:t>
      </w:r>
      <w:r>
        <w:rPr>
          <w:rFonts w:hint="eastAsia" w:ascii="宋体" w:hAnsi="宋体"/>
          <w:szCs w:val="21"/>
        </w:rPr>
        <w:t>取消向乙方发出的有关该产品的采购订单</w:t>
      </w:r>
      <w:r>
        <w:rPr>
          <w:rFonts w:hint="eastAsia" w:asciiTheme="minorEastAsia" w:hAnsiTheme="minorEastAsia" w:eastAsiaTheme="minorEastAsia"/>
          <w:szCs w:val="21"/>
        </w:rPr>
        <w:t>并且不承担任何违约责任</w:t>
      </w:r>
      <w:r>
        <w:rPr>
          <w:rFonts w:hint="eastAsia" w:ascii="宋体" w:hAnsi="宋体"/>
          <w:szCs w:val="21"/>
        </w:rPr>
        <w:t>。待乙方将产品质量问题解决后，</w:t>
      </w:r>
      <w:r>
        <w:rPr>
          <w:rFonts w:hint="eastAsia" w:asciiTheme="minorEastAsia" w:hAnsiTheme="minorEastAsia" w:eastAsiaTheme="minorEastAsia"/>
          <w:szCs w:val="21"/>
        </w:rPr>
        <w:t>重</w:t>
      </w:r>
      <w:r>
        <w:rPr>
          <w:rFonts w:hint="eastAsia" w:ascii="宋体" w:hAnsi="宋体"/>
          <w:szCs w:val="21"/>
        </w:rPr>
        <w:t>新</w:t>
      </w:r>
      <w:r>
        <w:rPr>
          <w:rFonts w:hint="eastAsia" w:asciiTheme="minorEastAsia" w:hAnsiTheme="minorEastAsia" w:eastAsiaTheme="minorEastAsia"/>
          <w:szCs w:val="21"/>
        </w:rPr>
        <w:t>发出</w:t>
      </w:r>
      <w:r>
        <w:rPr>
          <w:rFonts w:hint="eastAsia" w:ascii="宋体" w:hAnsi="宋体"/>
          <w:szCs w:val="21"/>
        </w:rPr>
        <w:t xml:space="preserve">采购订单。 </w:t>
      </w:r>
    </w:p>
    <w:p>
      <w:pPr>
        <w:adjustRightInd w:val="0"/>
        <w:snapToGrid w:val="0"/>
        <w:spacing w:line="400" w:lineRule="exact"/>
        <w:rPr>
          <w:rFonts w:ascii="宋体" w:hAnsi="宋体"/>
          <w:b/>
          <w:bCs/>
          <w:spacing w:val="4"/>
          <w:szCs w:val="21"/>
        </w:rPr>
      </w:pPr>
      <w:r>
        <w:rPr>
          <w:rFonts w:hint="eastAsia" w:ascii="宋体" w:hAnsi="宋体"/>
          <w:b/>
          <w:bCs/>
          <w:spacing w:val="4"/>
          <w:szCs w:val="21"/>
        </w:rPr>
        <w:t>4、付款方式及期限</w:t>
      </w:r>
    </w:p>
    <w:p>
      <w:pPr>
        <w:adjustRightInd w:val="0"/>
        <w:snapToGrid w:val="0"/>
        <w:spacing w:line="400" w:lineRule="exact"/>
        <w:ind w:firstLine="420" w:firstLineChars="200"/>
        <w:rPr>
          <w:rFonts w:ascii="宋体" w:hAnsi="宋体"/>
          <w:kern w:val="11"/>
          <w:highlight w:val="none"/>
        </w:rPr>
      </w:pPr>
      <w:r>
        <w:rPr>
          <w:rFonts w:hint="eastAsia" w:ascii="宋体" w:hAnsi="宋体"/>
          <w:szCs w:val="21"/>
          <w:highlight w:val="none"/>
        </w:rPr>
        <w:t>4.1</w:t>
      </w:r>
      <w:r>
        <w:rPr>
          <w:rFonts w:hint="eastAsia" w:ascii="宋体" w:hAnsi="宋体"/>
          <w:kern w:val="11"/>
          <w:highlight w:val="none"/>
        </w:rPr>
        <w:t>甲方验收合格</w:t>
      </w:r>
      <w:r>
        <w:rPr>
          <w:rFonts w:hint="eastAsia" w:ascii="宋体" w:hAnsi="宋体" w:cs="宋体"/>
          <w:kern w:val="11"/>
          <w:szCs w:val="21"/>
          <w:highlight w:val="none"/>
        </w:rPr>
        <w:t>且收到乙方相应金额的增值税发票，经甲方审核及验证无误</w:t>
      </w:r>
      <w:r>
        <w:rPr>
          <w:rFonts w:hint="eastAsia" w:ascii="宋体" w:hAnsi="宋体"/>
          <w:kern w:val="11"/>
          <w:highlight w:val="none"/>
        </w:rPr>
        <w:t xml:space="preserve">后【 </w:t>
      </w:r>
      <w:r>
        <w:rPr>
          <w:rFonts w:hint="eastAsia" w:ascii="宋体" w:hAnsi="宋体"/>
          <w:kern w:val="11"/>
          <w:highlight w:val="none"/>
          <w:lang w:val="en-US" w:eastAsia="zh-CN"/>
        </w:rPr>
        <w:t>180</w:t>
      </w:r>
      <w:r>
        <w:rPr>
          <w:rFonts w:hint="eastAsia" w:ascii="宋体" w:hAnsi="宋体"/>
          <w:kern w:val="11"/>
          <w:highlight w:val="none"/>
        </w:rPr>
        <w:t xml:space="preserve"> 】日内付款</w:t>
      </w:r>
      <w:r>
        <w:rPr>
          <w:rFonts w:hint="eastAsia" w:ascii="宋体" w:hAnsi="宋体"/>
          <w:szCs w:val="21"/>
          <w:highlight w:val="none"/>
        </w:rPr>
        <w:t>，支付方式为：银行承兑汇票或电汇。</w:t>
      </w:r>
    </w:p>
    <w:p>
      <w:pPr>
        <w:spacing w:line="400" w:lineRule="exact"/>
        <w:ind w:firstLine="420" w:firstLineChars="200"/>
        <w:rPr>
          <w:rFonts w:asciiTheme="minorEastAsia" w:hAnsiTheme="minorEastAsia" w:eastAsiaTheme="minorEastAsia"/>
          <w:szCs w:val="21"/>
        </w:rPr>
      </w:pPr>
      <w:r>
        <w:rPr>
          <w:rFonts w:hint="eastAsia" w:ascii="宋体" w:hAnsi="宋体"/>
          <w:szCs w:val="21"/>
        </w:rPr>
        <w:t>4.2乙方需在发货时提供相应金额的增值税发票给甲方。</w:t>
      </w:r>
      <w:r>
        <w:rPr>
          <w:rFonts w:hint="eastAsia" w:asciiTheme="minorEastAsia" w:hAnsiTheme="minorEastAsia" w:eastAsiaTheme="minorEastAsia"/>
          <w:szCs w:val="21"/>
        </w:rPr>
        <w:t>在乙方提供合法有效的增值税发票前，甲方有权拒绝支付应付款项，且不承担任何违约责任，乙方的各项合同义务仍按合同约定履行。</w:t>
      </w:r>
    </w:p>
    <w:p>
      <w:pPr>
        <w:spacing w:line="400" w:lineRule="exact"/>
        <w:ind w:firstLine="420" w:firstLineChars="200"/>
        <w:rPr>
          <w:rFonts w:ascii="宋体" w:hAnsi="宋体"/>
          <w:szCs w:val="21"/>
        </w:rPr>
      </w:pPr>
      <w:r>
        <w:rPr>
          <w:rFonts w:hint="eastAsia" w:ascii="宋体" w:hAnsi="宋体"/>
          <w:szCs w:val="21"/>
        </w:rPr>
        <w:t>4.3除非双方另有协议，订单中规定价款金额是甲方向乙方支付的唯一金额。</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4.4乙方收款账户以签章处约定为准，若乙方的收款账户有任何变更，乙方应在付款前15日书面通知甲方，否则甲方对任何由于乙方收款账户变更导致的延迟付款不承担任何违约责任。</w:t>
      </w:r>
    </w:p>
    <w:p>
      <w:pPr>
        <w:adjustRightInd w:val="0"/>
        <w:snapToGrid w:val="0"/>
        <w:spacing w:line="400" w:lineRule="exact"/>
        <w:rPr>
          <w:rFonts w:ascii="宋体" w:hAnsi="宋体"/>
          <w:b/>
          <w:bCs/>
          <w:spacing w:val="4"/>
          <w:szCs w:val="21"/>
        </w:rPr>
      </w:pPr>
      <w:r>
        <w:rPr>
          <w:rFonts w:hint="eastAsia" w:ascii="宋体" w:hAnsi="宋体"/>
          <w:b/>
          <w:bCs/>
          <w:spacing w:val="4"/>
          <w:szCs w:val="21"/>
        </w:rPr>
        <w:t>5、订货方式、包装要求、交货时间及交货地点</w:t>
      </w:r>
    </w:p>
    <w:p>
      <w:pPr>
        <w:spacing w:line="400" w:lineRule="exact"/>
        <w:ind w:firstLine="420" w:firstLineChars="200"/>
        <w:rPr>
          <w:rFonts w:ascii="宋体" w:hAnsi="宋体"/>
          <w:szCs w:val="21"/>
        </w:rPr>
      </w:pPr>
      <w:r>
        <w:rPr>
          <w:rFonts w:hint="eastAsia" w:ascii="宋体" w:hAnsi="宋体"/>
          <w:szCs w:val="21"/>
        </w:rPr>
        <w:t>5.1 交货时间：交货周期（包括运输时间）为</w:t>
      </w:r>
      <w:r>
        <w:rPr>
          <w:rFonts w:hint="eastAsia" w:asciiTheme="minorEastAsia" w:hAnsiTheme="minorEastAsia" w:eastAsiaTheme="minorEastAsia"/>
          <w:szCs w:val="21"/>
        </w:rPr>
        <w:t>自甲方发出采购订单之日起</w:t>
      </w:r>
      <w:r>
        <w:rPr>
          <w:rFonts w:hint="eastAsia" w:ascii="宋体" w:hAnsi="宋体"/>
          <w:szCs w:val="21"/>
        </w:rPr>
        <w:t xml:space="preserve">【 </w:t>
      </w:r>
      <w:r>
        <w:rPr>
          <w:rFonts w:hint="eastAsia" w:ascii="宋体" w:hAnsi="宋体"/>
          <w:szCs w:val="21"/>
          <w:lang w:val="en-US" w:eastAsia="zh-CN"/>
        </w:rPr>
        <w:t>15</w:t>
      </w:r>
      <w:r>
        <w:rPr>
          <w:rFonts w:hint="eastAsia" w:ascii="宋体" w:hAnsi="宋体"/>
          <w:szCs w:val="21"/>
        </w:rPr>
        <w:t xml:space="preserve"> 】日，具体交货时间按订单约定日期执行。</w:t>
      </w:r>
    </w:p>
    <w:p>
      <w:pPr>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2乙方向甲方交付包装符合要求、数量齐全的该标的物时，乙方应向甲方出具送货单。甲方签收送货单的行为，仅表示：</w:t>
      </w:r>
    </w:p>
    <w:p>
      <w:pPr>
        <w:spacing w:line="400" w:lineRule="exact"/>
        <w:ind w:firstLine="420" w:firstLineChars="200"/>
        <w:rPr>
          <w:rFonts w:ascii="宋体" w:hAnsi="宋体"/>
          <w:szCs w:val="21"/>
        </w:rPr>
      </w:pPr>
      <w:r>
        <w:rPr>
          <w:rFonts w:hint="eastAsia" w:ascii="宋体" w:hAnsi="宋体"/>
          <w:szCs w:val="21"/>
        </w:rPr>
        <w:t>5.2.1甲方确认收到该标的物外包装未有重大且明显破损；</w:t>
      </w:r>
    </w:p>
    <w:p>
      <w:pPr>
        <w:spacing w:line="400" w:lineRule="exact"/>
        <w:ind w:firstLine="420" w:firstLineChars="200"/>
        <w:rPr>
          <w:rFonts w:ascii="宋体" w:hAnsi="宋体"/>
          <w:szCs w:val="21"/>
        </w:rPr>
      </w:pPr>
      <w:r>
        <w:rPr>
          <w:rFonts w:hint="eastAsia" w:ascii="宋体" w:hAnsi="宋体"/>
          <w:szCs w:val="21"/>
        </w:rPr>
        <w:t>5.2.2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作出其他任何默认或放弃任何权利。</w:t>
      </w:r>
    </w:p>
    <w:p>
      <w:pPr>
        <w:spacing w:line="400" w:lineRule="exact"/>
        <w:ind w:firstLine="420" w:firstLineChars="200"/>
        <w:rPr>
          <w:rFonts w:ascii="宋体" w:hAnsi="宋体"/>
          <w:szCs w:val="21"/>
        </w:rPr>
      </w:pPr>
      <w:r>
        <w:rPr>
          <w:rFonts w:hint="eastAsia" w:ascii="宋体" w:hAnsi="宋体"/>
          <w:szCs w:val="21"/>
        </w:rPr>
        <w:t>5.2.3即使签收了送货单，甲方仍有权在收到产品后对产品的数量、质量、外包装、标示等提出异议，并随时要求乙方及时处理。</w:t>
      </w:r>
    </w:p>
    <w:p>
      <w:pPr>
        <w:spacing w:line="400" w:lineRule="exact"/>
        <w:ind w:firstLine="420" w:firstLineChars="200"/>
        <w:rPr>
          <w:rFonts w:ascii="宋体" w:hAnsi="宋体"/>
          <w:szCs w:val="21"/>
        </w:rPr>
      </w:pPr>
      <w:r>
        <w:rPr>
          <w:rFonts w:hint="eastAsia" w:ascii="宋体" w:hAnsi="宋体"/>
          <w:szCs w:val="21"/>
        </w:rPr>
        <w:t>5.2.4 甲方有权</w:t>
      </w:r>
      <w:r>
        <w:rPr>
          <w:rFonts w:ascii="宋体" w:hAnsi="宋体"/>
          <w:szCs w:val="21"/>
        </w:rPr>
        <w:t>根据</w:t>
      </w:r>
      <w:r>
        <w:rPr>
          <w:rFonts w:hint="eastAsia" w:ascii="宋体" w:hAnsi="宋体"/>
          <w:szCs w:val="21"/>
        </w:rPr>
        <w:t>实际</w:t>
      </w:r>
      <w:r>
        <w:rPr>
          <w:rFonts w:ascii="宋体" w:hAnsi="宋体"/>
          <w:szCs w:val="21"/>
        </w:rPr>
        <w:t>需求更改</w:t>
      </w:r>
      <w:r>
        <w:rPr>
          <w:rFonts w:hint="eastAsia" w:ascii="宋体" w:hAnsi="宋体"/>
          <w:szCs w:val="21"/>
        </w:rPr>
        <w:t>产品</w:t>
      </w:r>
      <w:r>
        <w:rPr>
          <w:rFonts w:ascii="宋体" w:hAnsi="宋体"/>
          <w:szCs w:val="21"/>
        </w:rPr>
        <w:t>包装要求，</w:t>
      </w:r>
      <w:r>
        <w:rPr>
          <w:rFonts w:hint="eastAsia" w:ascii="宋体" w:hAnsi="宋体"/>
          <w:szCs w:val="21"/>
        </w:rPr>
        <w:t>乙方</w:t>
      </w:r>
      <w:r>
        <w:rPr>
          <w:rFonts w:ascii="宋体" w:hAnsi="宋体"/>
          <w:szCs w:val="21"/>
        </w:rPr>
        <w:t>不得以甲方包装要求变更</w:t>
      </w:r>
      <w:r>
        <w:rPr>
          <w:rFonts w:hint="eastAsia" w:ascii="宋体" w:hAnsi="宋体"/>
          <w:szCs w:val="21"/>
        </w:rPr>
        <w:t>为由要求</w:t>
      </w:r>
      <w:r>
        <w:rPr>
          <w:rFonts w:ascii="宋体" w:hAnsi="宋体"/>
          <w:szCs w:val="21"/>
        </w:rPr>
        <w:t>调整产品价格。</w:t>
      </w:r>
    </w:p>
    <w:p>
      <w:pPr>
        <w:spacing w:line="400" w:lineRule="exact"/>
        <w:rPr>
          <w:rFonts w:ascii="宋体" w:hAnsi="宋体"/>
          <w:b/>
          <w:szCs w:val="21"/>
        </w:rPr>
      </w:pPr>
      <w:r>
        <w:rPr>
          <w:rFonts w:hint="eastAsia" w:ascii="宋体" w:hAnsi="宋体"/>
          <w:b/>
          <w:szCs w:val="21"/>
        </w:rPr>
        <w:t>6、交付</w:t>
      </w:r>
    </w:p>
    <w:p>
      <w:pPr>
        <w:spacing w:line="400" w:lineRule="exact"/>
        <w:ind w:firstLine="420" w:firstLineChars="200"/>
        <w:rPr>
          <w:rFonts w:ascii="宋体" w:hAnsi="宋体"/>
          <w:szCs w:val="21"/>
        </w:rPr>
      </w:pPr>
      <w:r>
        <w:rPr>
          <w:rFonts w:hint="eastAsia" w:ascii="宋体" w:hAnsi="宋体"/>
          <w:szCs w:val="21"/>
        </w:rPr>
        <w:t xml:space="preserve">6.1交付地点：采购订单约定地点。 </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2交货如无其他约定，是指由乙方或乙方委托的人员或机构将产品交到交货地点，与甲方或甲方书面指定的收货人办理交货手续，并同时提供有关产品的并提交包括但不限于相关产品的合格证、出厂检验报告及甲方要求的其他文件等全部附件及附件清单（如上述文件非中文，乙方应当提供准确的中文翻译文件），乙方承担相应费用，取得甲方出具的收货单据。</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.3如甲方需要更改交货日期、交货地点、交货数量和收货人，经双方友好协商，甲方应在合理的时间内以书面交货通知的方式知会乙方。是否按时交货根据产品实际到达甲方指定地点的日期来判断。</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.4当甲方要求提前交货时，乙方应采取适当的措施，努力满足交货要求，若确实无法满足，应告知甲方最早的交货时间和数量。</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.5未经甲方同意，乙方不得提前交货，否则视为不按时交货，甲方有权拒收；</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.6对于任何可预见的延期交付，乙方都必须及时通知甲方并采取补救措施，由此产生的费用，由乙方承担。</w:t>
      </w:r>
    </w:p>
    <w:p>
      <w:pPr>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7运输费用、保险费用、符合运输条件的特定包装费用以及其他相关费用由乙方承担。在运输过程中发生产品的毁损、失火等风险均由乙方承担。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6.8若因乙方未按甲方要求数量提供产品，或未按时间提供产品，或提供产品质量不符合甲方要求造成甲方临时从其他主体处采购的，甲方采购替代产品的金额超出乙方供货产品价格部分由乙方承担。</w:t>
      </w:r>
    </w:p>
    <w:p>
      <w:pPr>
        <w:adjustRightInd w:val="0"/>
        <w:snapToGrid w:val="0"/>
        <w:spacing w:line="400" w:lineRule="exact"/>
        <w:rPr>
          <w:rFonts w:ascii="宋体" w:hAnsi="宋体"/>
          <w:b/>
          <w:bCs/>
          <w:spacing w:val="4"/>
          <w:szCs w:val="21"/>
        </w:rPr>
      </w:pPr>
      <w:r>
        <w:rPr>
          <w:rFonts w:ascii="宋体" w:hAnsi="宋体"/>
          <w:b/>
          <w:bCs/>
          <w:spacing w:val="4"/>
          <w:szCs w:val="21"/>
        </w:rPr>
        <w:t>7</w:t>
      </w:r>
      <w:r>
        <w:rPr>
          <w:rFonts w:hint="eastAsia" w:ascii="宋体" w:hAnsi="宋体"/>
          <w:b/>
          <w:bCs/>
          <w:spacing w:val="4"/>
          <w:szCs w:val="21"/>
        </w:rPr>
        <w:t>、产品包装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.1按照甲方要求的标准包装执行。由于包装不善所引起的产品锈蚀、损坏和损失等均由乙方承担。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.2乙方的包装应保证产品在运输过程中无损坏，如运输过程中发生损坏，甲方可将产品退回乙方，乙方重新发运合格产品。</w:t>
      </w:r>
    </w:p>
    <w:p>
      <w:pPr>
        <w:adjustRightInd w:val="0"/>
        <w:snapToGrid w:val="0"/>
        <w:spacing w:line="400" w:lineRule="exact"/>
        <w:rPr>
          <w:rFonts w:ascii="宋体" w:hAnsi="宋体"/>
          <w:b/>
          <w:bCs/>
          <w:spacing w:val="4"/>
          <w:szCs w:val="21"/>
        </w:rPr>
      </w:pPr>
      <w:r>
        <w:rPr>
          <w:rFonts w:ascii="宋体" w:hAnsi="宋体"/>
          <w:b/>
          <w:bCs/>
          <w:spacing w:val="4"/>
          <w:szCs w:val="21"/>
        </w:rPr>
        <w:t>8</w:t>
      </w:r>
      <w:r>
        <w:rPr>
          <w:rFonts w:hint="eastAsia" w:ascii="宋体" w:hAnsi="宋体"/>
          <w:b/>
          <w:bCs/>
          <w:spacing w:val="4"/>
          <w:szCs w:val="21"/>
        </w:rPr>
        <w:t>、产品的质量要求、技术标准、标识要求</w:t>
      </w:r>
    </w:p>
    <w:p>
      <w:pPr>
        <w:adjustRightInd w:val="0"/>
        <w:snapToGrid w:val="0"/>
        <w:spacing w:line="400" w:lineRule="exact"/>
        <w:ind w:firstLine="420" w:firstLineChars="200"/>
        <w:rPr>
          <w:rFonts w:ascii="宋体" w:hAnsi="宋体"/>
          <w:szCs w:val="21"/>
        </w:rPr>
      </w:pPr>
      <w:r>
        <w:rPr>
          <w:rFonts w:hint="eastAsia" w:ascii="宋体" w:hAnsi="宋体"/>
          <w:szCs w:val="21"/>
        </w:rPr>
        <w:t>按双方签订的《技术协议》、产品规格书、甲方产品</w:t>
      </w:r>
      <w:r>
        <w:rPr>
          <w:rFonts w:ascii="宋体" w:hAnsi="宋体"/>
          <w:szCs w:val="21"/>
        </w:rPr>
        <w:t>图纸、</w:t>
      </w:r>
      <w:r>
        <w:rPr>
          <w:rFonts w:hint="eastAsia" w:ascii="宋体" w:hAnsi="宋体"/>
          <w:szCs w:val="21"/>
        </w:rPr>
        <w:t>《质量协议》、</w:t>
      </w:r>
      <w:r>
        <w:rPr>
          <w:rFonts w:ascii="宋体" w:hAnsi="宋体"/>
          <w:szCs w:val="21"/>
        </w:rPr>
        <w:t>标准样品</w:t>
      </w:r>
      <w:r>
        <w:rPr>
          <w:rFonts w:hint="eastAsia" w:ascii="宋体" w:hAnsi="宋体"/>
          <w:szCs w:val="21"/>
        </w:rPr>
        <w:t>及甲方标识要求等执行。</w:t>
      </w:r>
    </w:p>
    <w:p>
      <w:pPr>
        <w:adjustRightInd w:val="0"/>
        <w:snapToGrid w:val="0"/>
        <w:spacing w:line="400" w:lineRule="exact"/>
        <w:rPr>
          <w:rFonts w:ascii="宋体" w:hAnsi="宋体"/>
          <w:b/>
          <w:bCs/>
          <w:spacing w:val="4"/>
          <w:szCs w:val="21"/>
        </w:rPr>
      </w:pPr>
      <w:r>
        <w:rPr>
          <w:rFonts w:ascii="宋体" w:hAnsi="宋体"/>
          <w:b/>
          <w:bCs/>
          <w:spacing w:val="4"/>
          <w:szCs w:val="21"/>
        </w:rPr>
        <w:t>9</w:t>
      </w:r>
      <w:r>
        <w:rPr>
          <w:rFonts w:hint="eastAsia" w:ascii="宋体" w:hAnsi="宋体"/>
          <w:b/>
          <w:bCs/>
          <w:spacing w:val="4"/>
          <w:szCs w:val="21"/>
        </w:rPr>
        <w:t>、产品验收</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.1货到甲方公司后，甲方将依据本协议第</w:t>
      </w:r>
      <w:r>
        <w:rPr>
          <w:rFonts w:ascii="宋体" w:hAnsi="宋体"/>
          <w:szCs w:val="21"/>
        </w:rPr>
        <w:t>8</w:t>
      </w:r>
      <w:r>
        <w:rPr>
          <w:rFonts w:hint="eastAsia" w:ascii="宋体" w:hAnsi="宋体"/>
          <w:szCs w:val="21"/>
        </w:rPr>
        <w:t xml:space="preserve">条中所规定的标准对产品进行验收。乙方须提供该批次产品的检测报告。如果检测结果表明该批产品出现质量问题，甲方将用传真、电子邮件等方式通知乙方，乙方在收到甲方的通知后，应立即查找出现相关质量问题的原因，并寻求解决问题的方案。 </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.2甲方对乙方每批交付产品将及时抽样检验，对存在隐藏性瑕疵或缺陷的产品，甲方将保留自接收产品后一直到甲方产品对第三方承诺的三包质量保证期满为止向乙方提出质量异议及索赔的权利。</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.3质量不符合本协议第</w:t>
      </w:r>
      <w:r>
        <w:rPr>
          <w:rFonts w:ascii="宋体" w:hAnsi="宋体"/>
          <w:szCs w:val="21"/>
        </w:rPr>
        <w:t>8</w:t>
      </w:r>
      <w:r>
        <w:rPr>
          <w:rFonts w:hint="eastAsia" w:ascii="宋体" w:hAnsi="宋体"/>
          <w:szCs w:val="21"/>
        </w:rPr>
        <w:t>条要求的，甲方有权拒绝接收产品或解除协议并作退货处理，产生的损失由乙方承担。如有争议，由有评价资格的第三方机构对争议部分进行鉴定，费用由乙方垫付。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10</w:t>
      </w:r>
      <w:r>
        <w:rPr>
          <w:rFonts w:hint="eastAsia" w:ascii="宋体" w:hAnsi="宋体"/>
          <w:b/>
          <w:bCs/>
          <w:spacing w:val="4"/>
          <w:szCs w:val="21"/>
        </w:rPr>
        <w:t>、品质保证及服务</w:t>
      </w:r>
    </w:p>
    <w:p>
      <w:pPr>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.1乙方对其所供产品提供自到货且经甲方验收合格并签署验收单之日起【 </w:t>
      </w:r>
      <w:r>
        <w:rPr>
          <w:rFonts w:hint="eastAsia" w:ascii="宋体" w:hAnsi="宋体"/>
          <w:szCs w:val="21"/>
          <w:lang w:val="en-US" w:eastAsia="zh-CN"/>
        </w:rPr>
        <w:t>12</w:t>
      </w:r>
      <w:r>
        <w:rPr>
          <w:rFonts w:hint="eastAsia" w:ascii="宋体" w:hAnsi="宋体"/>
          <w:szCs w:val="21"/>
        </w:rPr>
        <w:t xml:space="preserve"> 】个月的品质保障； </w:t>
      </w:r>
    </w:p>
    <w:p>
      <w:pPr>
        <w:pStyle w:val="5"/>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.2质保期内，出现产品质量问题，甲方提供退货原因说明及数量统计，经双方确认系属产品质量问题的，乙方及时给予免费退换并承担因退换货产生的运费，更换的产品享有更换后经甲方验收合格起重新计算【 </w:t>
      </w:r>
      <w:r>
        <w:rPr>
          <w:rFonts w:hint="eastAsia" w:ascii="宋体" w:hAnsi="宋体"/>
          <w:szCs w:val="21"/>
          <w:lang w:val="en-US" w:eastAsia="zh-CN"/>
        </w:rPr>
        <w:t>12</w:t>
      </w:r>
      <w:r>
        <w:rPr>
          <w:rFonts w:hint="eastAsia" w:ascii="宋体" w:hAnsi="宋体"/>
          <w:szCs w:val="21"/>
        </w:rPr>
        <w:t xml:space="preserve"> 】个月的质保期。产品的隐蔽质量瑕疵（包含但不限于材料及工艺缺陷）不受此质保期的限制，对于产品在正常使用年限内暴露的任何隐蔽质量瑕疵乙方都应负责，给予免费维修、更换或赔偿损失。</w:t>
      </w:r>
      <w:r>
        <w:rPr>
          <w:rFonts w:hint="eastAsia" w:asciiTheme="minorEastAsia" w:hAnsiTheme="minorEastAsia" w:eastAsiaTheme="minorEastAsia"/>
          <w:szCs w:val="21"/>
        </w:rPr>
        <w:t>对是否属产品质量问题如有争议，由有评价资格的第三方机构对争议部分进行鉴定，费用由乙方垫付。</w:t>
      </w:r>
      <w:r>
        <w:rPr>
          <w:rFonts w:hint="eastAsia" w:ascii="宋体" w:hAnsi="宋体" w:cs="宋体"/>
          <w:kern w:val="11"/>
          <w:szCs w:val="21"/>
        </w:rPr>
        <w:t>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11</w:t>
      </w:r>
      <w:r>
        <w:rPr>
          <w:rFonts w:hint="eastAsia" w:ascii="宋体" w:hAnsi="宋体"/>
          <w:b/>
          <w:bCs/>
          <w:spacing w:val="4"/>
          <w:szCs w:val="21"/>
        </w:rPr>
        <w:t>、违约责任</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.1 在本协议约定的范围内，乙方必须接受甲方的采购订单和满足甲方要求的交期。若因特殊原因不能按时交货，乙方必须第一时间（最晚在甲方要求交期前3个工作日）以书面形式通知甲方并经甲方书面同意，否则视为乙方拒绝交货，乙方按照11.2条承担违约责任。</w:t>
      </w:r>
    </w:p>
    <w:p>
      <w:pPr>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.2乙方在接到甲方采购订单后逾期交付产品的，每逾期一天，甲方有权要求乙方支付逾期交付产品价值总额【</w:t>
      </w:r>
      <w:r>
        <w:rPr>
          <w:rFonts w:hint="eastAsia" w:ascii="宋体" w:hAnsi="宋体"/>
          <w:szCs w:val="21"/>
          <w:lang w:val="en-US" w:eastAsia="zh-CN"/>
        </w:rPr>
        <w:t>万分之五</w:t>
      </w:r>
      <w:r>
        <w:rPr>
          <w:rFonts w:hint="eastAsia" w:ascii="宋体" w:hAnsi="宋体"/>
          <w:szCs w:val="21"/>
        </w:rPr>
        <w:t>】的违约金，</w:t>
      </w:r>
      <w:r>
        <w:rPr>
          <w:rFonts w:hint="eastAsia" w:asciiTheme="minorEastAsia" w:hAnsiTheme="minorEastAsia" w:eastAsiaTheme="minorEastAsia"/>
          <w:szCs w:val="21"/>
        </w:rPr>
        <w:t>因此给甲方造成的损失由乙方承担</w:t>
      </w:r>
      <w:r>
        <w:rPr>
          <w:rFonts w:hint="eastAsia" w:ascii="宋体" w:hAnsi="宋体"/>
          <w:szCs w:val="21"/>
        </w:rPr>
        <w:t>。乙方支付违约金后，其继续交货的责任不能解除。如延期交付导致甲方认为继续履行该采购订单已没有意义，则甲方有权解除该采购订单，乙方应按照解除订单载明总金额的30%向甲方支付违约金；</w:t>
      </w:r>
    </w:p>
    <w:p>
      <w:pPr>
        <w:spacing w:line="400" w:lineRule="exact"/>
        <w:ind w:firstLine="420" w:firstLineChars="200"/>
        <w:rPr>
          <w:rFonts w:ascii="宋体" w:hAnsi="宋体"/>
          <w:szCs w:val="21"/>
        </w:rPr>
      </w:pPr>
      <w:r>
        <w:rPr>
          <w:rFonts w:hint="eastAsia" w:ascii="宋体" w:hAnsi="宋体"/>
          <w:szCs w:val="21"/>
        </w:rPr>
        <w:t>如乙方拒绝采购订单或交货，逾期应按照被拒绝订单载明的总金额的30%向甲方支付违约金；如乙方拒绝拒绝采购订单或交货达3次，甲方有权解除本协议。</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 xml:space="preserve">1.3 </w:t>
      </w:r>
      <w:r>
        <w:rPr>
          <w:rFonts w:hint="eastAsia" w:ascii="宋体" w:hAnsi="宋体"/>
          <w:szCs w:val="21"/>
        </w:rPr>
        <w:t>乙方交付产品的品质、性能、技术标准、质量要求不符合本协议</w:t>
      </w:r>
      <w:r>
        <w:rPr>
          <w:rFonts w:ascii="宋体" w:hAnsi="宋体"/>
          <w:szCs w:val="21"/>
        </w:rPr>
        <w:t>第</w:t>
      </w:r>
      <w:r>
        <w:rPr>
          <w:rFonts w:hint="eastAsia" w:ascii="宋体" w:hAnsi="宋体"/>
          <w:szCs w:val="21"/>
        </w:rPr>
        <w:t>8条</w:t>
      </w:r>
      <w:r>
        <w:rPr>
          <w:rFonts w:ascii="宋体" w:hAnsi="宋体"/>
          <w:szCs w:val="21"/>
        </w:rPr>
        <w:t>要求</w:t>
      </w:r>
      <w:r>
        <w:rPr>
          <w:rFonts w:hint="eastAsia" w:ascii="宋体" w:hAnsi="宋体"/>
          <w:szCs w:val="21"/>
        </w:rPr>
        <w:t>的，甲方有权向乙方提出更换产品及索赔或解除订单并作退货处理。乙方应无任何条件在甲方提出之日起 3日内免费更换产品，由此造成的时间延误视作乙方未按时交货，按照11.2条处理。如因此给甲方造成生产中断、销售订单违约等损失的，乙方须按采购</w:t>
      </w:r>
      <w:r>
        <w:rPr>
          <w:rFonts w:ascii="宋体" w:hAnsi="宋体"/>
          <w:szCs w:val="21"/>
        </w:rPr>
        <w:t>订单</w:t>
      </w:r>
      <w:r>
        <w:rPr>
          <w:rFonts w:hint="eastAsia" w:ascii="宋体" w:hAnsi="宋体"/>
          <w:szCs w:val="21"/>
        </w:rPr>
        <w:t>总价款的30%向甲方支付违约金。</w:t>
      </w:r>
      <w:r>
        <w:rPr>
          <w:rFonts w:hint="eastAsia" w:asciiTheme="minorEastAsia" w:hAnsiTheme="minorEastAsia" w:eastAsiaTheme="minorEastAsia"/>
          <w:szCs w:val="21"/>
        </w:rPr>
        <w:t>甲方解除订单并作退货处理的，乙方应在甲方提出之日起 3日内无条件退货，乙方除返还已付款项外，应按照采购订单总金额的30%向甲方支付违约金。</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.4 质保期内，如</w:t>
      </w:r>
      <w:r>
        <w:rPr>
          <w:rFonts w:hint="eastAsia" w:asciiTheme="minorEastAsia" w:hAnsiTheme="minorEastAsia" w:eastAsiaTheme="minorEastAsia"/>
          <w:szCs w:val="21"/>
        </w:rPr>
        <w:t>产品</w:t>
      </w:r>
      <w:r>
        <w:rPr>
          <w:rFonts w:hint="eastAsia" w:ascii="宋体" w:hAnsi="宋体"/>
          <w:szCs w:val="21"/>
        </w:rPr>
        <w:t>经2次换货仍未达到技术要求的，甲方有权终止本协议，并对该订单产品做退货处理，乙方应按采购订单总价款的30%向甲方支付违约金，</w:t>
      </w:r>
      <w:r>
        <w:rPr>
          <w:rFonts w:hint="eastAsia" w:asciiTheme="minorEastAsia" w:hAnsiTheme="minorEastAsia" w:eastAsiaTheme="minorEastAsia"/>
          <w:szCs w:val="21"/>
        </w:rPr>
        <w:t>如违约金不足以弥补甲方损失的，乙方应另行赔偿给甲方造成的损失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 xml:space="preserve">.5 </w:t>
      </w:r>
      <w:r>
        <w:rPr>
          <w:rFonts w:ascii="宋体" w:hAnsi="宋体"/>
          <w:szCs w:val="21"/>
        </w:rPr>
        <w:t>乙方保证本协议项下产品的权利无瑕疵，包括产品所有权及知识产权等权利无瑕疵。如任何第三方经法院（或仲裁机构）裁决有权对上述产品主张权利或国家机关依法对产品进行没收查处的，乙方除应向甲方返还已收款项外，还应按</w:t>
      </w:r>
      <w:r>
        <w:rPr>
          <w:rFonts w:hint="eastAsia" w:ascii="宋体" w:hAnsi="宋体"/>
          <w:szCs w:val="21"/>
        </w:rPr>
        <w:t>采购订单</w:t>
      </w:r>
      <w:r>
        <w:rPr>
          <w:rFonts w:ascii="宋体" w:hAnsi="宋体"/>
          <w:szCs w:val="21"/>
        </w:rPr>
        <w:t>总价的</w:t>
      </w:r>
      <w:r>
        <w:rPr>
          <w:rFonts w:hint="eastAsia" w:ascii="宋体" w:hAnsi="宋体"/>
          <w:szCs w:val="21"/>
        </w:rPr>
        <w:t>30%</w:t>
      </w:r>
      <w:r>
        <w:rPr>
          <w:rFonts w:ascii="宋体" w:hAnsi="宋体"/>
          <w:szCs w:val="21"/>
        </w:rPr>
        <w:t>向甲方支付违约金并赔偿因此给甲方造成的一切损失。</w:t>
      </w:r>
    </w:p>
    <w:p>
      <w:pPr>
        <w:adjustRightInd w:val="0"/>
        <w:snapToGrid w:val="0"/>
        <w:spacing w:line="400" w:lineRule="exact"/>
        <w:ind w:firstLine="420" w:firstLineChars="200"/>
        <w:rPr>
          <w:rFonts w:ascii="宋体" w:hAnsi="宋体"/>
          <w:szCs w:val="21"/>
        </w:rPr>
      </w:pPr>
      <w:r>
        <w:rPr>
          <w:rFonts w:hint="eastAsia" w:ascii="宋体" w:hAnsi="宋体"/>
          <w:szCs w:val="21"/>
        </w:rPr>
        <w:t>11.6 如产品是因包装不善或运输过程中造成的表面损坏或不影响产品使用质量的瑕疵，甲方同意降价接收的，乙方应先对产品进行修理或复原，修复效果经甲方确认后可降价接收。如上述的问题在产品上批量性出现或多次出现，并且甲方不同意降价接收的，甲方可要求退换产品，由此发生的甲方损失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11.7 质保期内如乙方未能按照甲方要求响应售后服务，每延迟1日，乙方须向甲方支付2000元违约金。且甲方有权自行维修或另请他人维修，因此产生的费用及责任均由乙方承担。</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8甲方的损失包括但不限于：甲方的筛选、挑拣、报关、运输、仓储、检验、误工、重工等费用、甲方的停线损失、合理的利润、因延误造成的市场差价、甲方向第三方的紧急采购费用、甲方为处理该事件所花费的费用、三包赔偿、质量事故赔偿、返工费用、市场信誉赔偿、律师费、诉讼/仲裁费等费用。如因此使甲方客户向甲方提出索赔的，还应包括甲方支付给其客户的相关赔偿费用等。</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.9甲方有权从采购订单款项中直接扣除乙方违约金，</w:t>
      </w:r>
      <w:r>
        <w:rPr>
          <w:rFonts w:hint="eastAsia" w:asciiTheme="minorEastAsia" w:hAnsiTheme="minorEastAsia" w:eastAsiaTheme="minorEastAsia"/>
          <w:szCs w:val="21"/>
        </w:rPr>
        <w:t>如该违约金不足以弥补甲方损失的，乙方应赔偿超过违约金部分的损失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Theme="minorEastAsia" w:hAnsiTheme="minorEastAsia" w:eastAsiaTheme="minorEastAsia"/>
          <w:szCs w:val="21"/>
        </w:rPr>
        <w:t>11.10如因产品质量问题（含因产品包装不当导致的质量问题）给甲方或第三方造成损失，乙方应承担全部赔偿责任，包括但不仅限于相关诉讼、索赔费用以及甲方由此遭受的损害、损失和甲方为此支出的相关费用。</w:t>
      </w:r>
    </w:p>
    <w:p>
      <w:pPr>
        <w:adjustRightInd w:val="0"/>
        <w:snapToGrid w:val="0"/>
        <w:spacing w:line="400" w:lineRule="exact"/>
        <w:ind w:firstLine="438"/>
        <w:rPr>
          <w:rFonts w:ascii="宋体" w:hAnsi="宋体"/>
          <w:szCs w:val="21"/>
        </w:rPr>
      </w:pPr>
      <w:r>
        <w:rPr>
          <w:rFonts w:ascii="宋体" w:hAnsi="宋体"/>
          <w:bCs/>
          <w:spacing w:val="4"/>
          <w:szCs w:val="21"/>
        </w:rPr>
        <w:t>11.11</w:t>
      </w:r>
      <w:r>
        <w:rPr>
          <w:rFonts w:hint="eastAsia" w:ascii="宋体" w:hAnsi="宋体"/>
          <w:szCs w:val="21"/>
        </w:rPr>
        <w:t xml:space="preserve">如发生以上的情形，甲方可同时要求对乙方的工厂和生产情况进行审核，乙方应积极配合。 </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asciiTheme="minorEastAsia" w:hAnsiTheme="minorEastAsia" w:eastAsiaTheme="minorEastAsia"/>
          <w:b/>
          <w:bCs/>
          <w:spacing w:val="4"/>
          <w:szCs w:val="21"/>
        </w:rPr>
        <w:t>1</w:t>
      </w:r>
      <w:r>
        <w:rPr>
          <w:rFonts w:hint="eastAsia" w:asciiTheme="minorEastAsia" w:hAnsiTheme="minorEastAsia" w:eastAsiaTheme="minorEastAsia"/>
          <w:b/>
          <w:bCs/>
          <w:spacing w:val="4"/>
          <w:szCs w:val="21"/>
        </w:rPr>
        <w:t>2、不可抗力</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12.1“不可抗力”指不能预见、不能避免并不能克服的客观情况。这类情况包括但不限于地震、台风、洪水、火灾、战争、政府行为、传染病、重大疫情或者其他公认的或双方认可的无法预见、避免或者控制的情况。</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12.2如果发生不可抗力，一方在本协议项下受不可抗力影响的义务在不可抗力造成的延误期间自动中止，并且其履行期限应自动延长。延误期间从一方收到提出受不可抗力影响的另一方书面通知之日起计算，至双方共同确认不可抗力影响结束之日止，延长期间为中止的期间。受不可抗力影响的一方无须为此承担违约责任。因受不可抗力影响的一方延迟通知导致的扩大损失除外。受不可抗力影响延长期限超过30日影响甲方生产的，甲方有权单方解除本协议且不承担任何违约责任。</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12.3提出受不可抗力影响的一方应在不可抗力发生之日起3个工作日内书面通知另一方，并且在不可抗力发生之后十（10）个工作日内向另一方提供不可抗力发生以及持续期间的充分证据。提出受不可抗力影响的一方还应尽一切合理的努力排除不可抗力所带来的影响。</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hint="eastAsia" w:asciiTheme="minorEastAsia" w:hAnsiTheme="minorEastAsia" w:eastAsiaTheme="minorEastAsia"/>
          <w:b/>
          <w:bCs/>
          <w:spacing w:val="4"/>
          <w:szCs w:val="21"/>
        </w:rPr>
        <w:t>13、合同的变更和解除</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13.1当事人双方协商一致，可以书面变更或解除本协议。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13.2发生下列情况之一时，一方可以解除本协议。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13.2.1由于不可抗力或不可归责于双方的原因致使本协议的目的无法实现的；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13.2.2另一方破产、清算或丧失实际履约能力的；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13.2.3本协议约定的合同解除条件成就的。</w:t>
      </w:r>
    </w:p>
    <w:p>
      <w:pPr>
        <w:adjustRightInd w:val="0"/>
        <w:snapToGrid w:val="0"/>
        <w:spacing w:line="400" w:lineRule="exact"/>
        <w:ind w:firstLine="436" w:firstLineChars="200"/>
        <w:rPr>
          <w:rFonts w:ascii="宋体" w:hAnsi="宋体" w:cs="宋体"/>
          <w:bCs/>
          <w:spacing w:val="4"/>
          <w:szCs w:val="21"/>
        </w:rPr>
      </w:pPr>
      <w:r>
        <w:rPr>
          <w:rFonts w:hint="eastAsia" w:ascii="宋体" w:hAnsi="宋体" w:cs="宋体"/>
          <w:bCs/>
          <w:spacing w:val="4"/>
          <w:szCs w:val="21"/>
        </w:rPr>
        <w:t>13.3任何一方依据本条第2款解除合同需书面通知对方，本协议自通知到达之日起解除。</w:t>
      </w:r>
    </w:p>
    <w:p>
      <w:pPr>
        <w:adjustRightInd w:val="0"/>
        <w:snapToGrid w:val="0"/>
        <w:spacing w:line="400" w:lineRule="exact"/>
        <w:rPr>
          <w:rFonts w:ascii="宋体" w:hAnsi="宋体"/>
          <w:b/>
          <w:bCs/>
          <w:spacing w:val="4"/>
          <w:szCs w:val="21"/>
        </w:rPr>
      </w:pPr>
      <w:r>
        <w:rPr>
          <w:rFonts w:ascii="宋体" w:hAnsi="宋体"/>
          <w:b/>
          <w:bCs/>
          <w:spacing w:val="4"/>
          <w:szCs w:val="21"/>
        </w:rPr>
        <w:t>1</w:t>
      </w:r>
      <w:r>
        <w:rPr>
          <w:rFonts w:hint="eastAsia" w:ascii="宋体" w:hAnsi="宋体"/>
          <w:b/>
          <w:bCs/>
          <w:spacing w:val="4"/>
          <w:szCs w:val="21"/>
        </w:rPr>
        <w:t>4、其它</w:t>
      </w:r>
    </w:p>
    <w:p>
      <w:pPr>
        <w:adjustRightInd w:val="0"/>
        <w:snapToGrid w:val="0"/>
        <w:spacing w:line="400" w:lineRule="exact"/>
        <w:ind w:firstLine="420" w:firstLineChars="200"/>
        <w:rPr>
          <w:rFonts w:ascii="宋体" w:hAnsi="宋体"/>
          <w:szCs w:val="21"/>
        </w:rPr>
      </w:pPr>
      <w:r>
        <w:rPr>
          <w:rFonts w:hint="eastAsia" w:ascii="宋体" w:hAnsi="宋体"/>
          <w:szCs w:val="21"/>
        </w:rPr>
        <w:t>14.1以上产品单价均为含13%增值税的价格。</w:t>
      </w:r>
    </w:p>
    <w:p>
      <w:pPr>
        <w:adjustRightInd w:val="0"/>
        <w:snapToGrid w:val="0"/>
        <w:spacing w:line="400" w:lineRule="exact"/>
        <w:ind w:firstLine="420" w:firstLineChars="200"/>
        <w:rPr>
          <w:rFonts w:ascii="宋体" w:hAnsi="宋体"/>
          <w:szCs w:val="21"/>
        </w:rPr>
      </w:pPr>
      <w:r>
        <w:rPr>
          <w:rFonts w:hint="eastAsia" w:ascii="宋体" w:hAnsi="宋体"/>
          <w:szCs w:val="21"/>
        </w:rPr>
        <w:t>14.2</w:t>
      </w:r>
      <w:r>
        <w:rPr>
          <w:rFonts w:hint="eastAsia" w:ascii="宋体" w:hAnsi="宋体" w:cs="宋体"/>
          <w:bCs/>
          <w:spacing w:val="4"/>
          <w:szCs w:val="21"/>
        </w:rPr>
        <w:t>本协议下的通知或任何其他通讯应以书面方式，通过邮寄、传真或电子邮箱形式发至对方的地址（包括电子邮箱地址）。双方地址信息见签署页，如果一方的地址发生变更，变更后的地址应当及时有效地通知另一方。</w:t>
      </w:r>
    </w:p>
    <w:p>
      <w:pPr>
        <w:adjustRightInd w:val="0"/>
        <w:snapToGrid w:val="0"/>
        <w:spacing w:line="400" w:lineRule="exact"/>
        <w:ind w:firstLine="420" w:firstLineChars="200"/>
        <w:rPr>
          <w:rFonts w:ascii="宋体" w:hAnsi="宋体"/>
          <w:szCs w:val="21"/>
        </w:rPr>
      </w:pPr>
      <w:r>
        <w:rPr>
          <w:rFonts w:hint="eastAsia" w:ascii="宋体" w:hAnsi="宋体"/>
          <w:szCs w:val="21"/>
        </w:rPr>
        <w:t>14.3所有由协议履行引起的或与协议有关的争议，双方应友好协商解决，协商不成，应向甲方所在地法院诉讼解决。</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14.4本协议对甲方、甲方分公司及全资子公司均有效，甲方全资子公司包括但不限于天津荣盛盟固利新能源科技有限公司、广西荣盛盟固利新能源科技有限公司。</w:t>
      </w:r>
    </w:p>
    <w:p>
      <w:pPr>
        <w:adjustRightInd w:val="0"/>
        <w:snapToGrid w:val="0"/>
        <w:spacing w:line="400" w:lineRule="exact"/>
        <w:ind w:firstLine="420" w:firstLineChars="200"/>
        <w:rPr>
          <w:rFonts w:ascii="宋体" w:hAnsi="宋体"/>
          <w:szCs w:val="21"/>
        </w:rPr>
      </w:pPr>
      <w:r>
        <w:rPr>
          <w:rFonts w:hint="eastAsia" w:ascii="宋体" w:hAnsi="宋体"/>
          <w:szCs w:val="21"/>
        </w:rPr>
        <w:t>14.5本协议有效期自【 】年【 】月【 】日至【 】年【 】月【 】日止。本协议有效期届满，如需继续合作的，甲乙双方协商一致后另行签订协议。</w:t>
      </w:r>
    </w:p>
    <w:p>
      <w:pPr>
        <w:adjustRightInd w:val="0"/>
        <w:snapToGrid w:val="0"/>
        <w:spacing w:line="400" w:lineRule="exact"/>
        <w:ind w:firstLine="420" w:firstLineChars="200"/>
        <w:rPr>
          <w:rFonts w:ascii="宋体" w:hAnsi="宋体"/>
          <w:szCs w:val="21"/>
        </w:rPr>
      </w:pPr>
      <w:r>
        <w:rPr>
          <w:rFonts w:hint="eastAsia" w:ascii="宋体" w:hAnsi="宋体"/>
          <w:szCs w:val="21"/>
        </w:rPr>
        <w:t>14.6有关附件与协议正文具有相同的法律效力。双方对本协议条款的所有修正、补充和修改应经双方协商后以书面形式附于主协议后，作为协议附件，与主协议具有相同的法律效力。传真件视为原件，与本协议具有相同的法律效力。</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14.7本协议一式3份，甲方执2份，乙方执1份，具有同等法律效力，自双方签字盖章且在本协议约定的有效期的起始之日起生效。</w:t>
      </w:r>
    </w:p>
    <w:p>
      <w:pPr>
        <w:spacing w:line="400" w:lineRule="exact"/>
        <w:ind w:firstLine="424" w:firstLineChars="202"/>
        <w:rPr>
          <w:rFonts w:ascii="宋体" w:hAnsi="宋体"/>
          <w:szCs w:val="21"/>
        </w:rPr>
      </w:pPr>
      <w:r>
        <w:rPr>
          <w:rFonts w:hint="eastAsia" w:ascii="宋体" w:hAnsi="宋体"/>
          <w:color w:val="000000"/>
          <w:szCs w:val="21"/>
        </w:rPr>
        <w:t>（以下无正文，为签章页）</w:t>
      </w:r>
    </w:p>
    <w:tbl>
      <w:tblPr>
        <w:tblStyle w:val="23"/>
        <w:tblpPr w:leftFromText="180" w:rightFromText="180" w:vertAnchor="text" w:horzAnchor="margin" w:tblpY="64"/>
        <w:tblW w:w="9464"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3725"/>
        <w:gridCol w:w="454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p>
        </w:tc>
        <w:tc>
          <w:tcPr>
            <w:tcW w:w="3725"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甲方</w:t>
            </w:r>
          </w:p>
        </w:tc>
        <w:tc>
          <w:tcPr>
            <w:tcW w:w="4542"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乙方</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单位名称</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荣盛盟固利新能源科技有限公司</w:t>
            </w:r>
          </w:p>
        </w:tc>
        <w:tc>
          <w:tcPr>
            <w:tcW w:w="4542" w:type="dxa"/>
            <w:vAlign w:val="center"/>
          </w:tcPr>
          <w:p>
            <w:pPr>
              <w:adjustRightInd w:val="0"/>
              <w:snapToGrid w:val="0"/>
              <w:spacing w:line="400" w:lineRule="exact"/>
              <w:jc w:val="center"/>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授权代表</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日    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年  月  日</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单位地址</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北京市昌平区白浮泉路18号</w:t>
            </w:r>
          </w:p>
        </w:tc>
        <w:tc>
          <w:tcPr>
            <w:tcW w:w="4542" w:type="dxa"/>
            <w:vAlign w:val="center"/>
          </w:tcPr>
          <w:p>
            <w:pPr>
              <w:spacing w:after="120"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邮    编</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102200</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    话</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010-89743388</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传    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010-89747404</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电子邮箱</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开户银行</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工行昌平支行营业部</w:t>
            </w:r>
          </w:p>
        </w:tc>
        <w:tc>
          <w:tcPr>
            <w:tcW w:w="4542" w:type="dxa"/>
            <w:vAlign w:val="center"/>
          </w:tcPr>
          <w:p>
            <w:pPr>
              <w:spacing w:line="400" w:lineRule="exact"/>
              <w:ind w:firstLine="1526" w:firstLineChars="700"/>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银行帐号</w:t>
            </w:r>
          </w:p>
        </w:tc>
        <w:tc>
          <w:tcPr>
            <w:tcW w:w="3725"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0200048909200013866</w:t>
            </w:r>
          </w:p>
        </w:tc>
        <w:tc>
          <w:tcPr>
            <w:tcW w:w="4542" w:type="dxa"/>
            <w:tcBorders>
              <w:bottom w:val="thinThickSmallGap" w:color="auto" w:sz="24" w:space="0"/>
            </w:tcBorders>
            <w:vAlign w:val="center"/>
          </w:tcPr>
          <w:p>
            <w:pPr>
              <w:spacing w:line="400" w:lineRule="exact"/>
              <w:ind w:firstLine="1635" w:firstLineChars="750"/>
              <w:rPr>
                <w:rFonts w:ascii="宋体" w:hAnsi="宋体"/>
                <w:spacing w:val="4"/>
                <w:szCs w:val="21"/>
              </w:rPr>
            </w:pPr>
          </w:p>
        </w:tc>
      </w:tr>
    </w:tbl>
    <w:p/>
    <w:p>
      <w:pPr>
        <w:adjustRightInd w:val="0"/>
        <w:snapToGrid w:val="0"/>
        <w:spacing w:line="400" w:lineRule="exact"/>
        <w:rPr>
          <w:rFonts w:ascii="宋体" w:hAnsi="宋体"/>
          <w:szCs w:val="21"/>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center"/>
        <w:rPr>
          <w:rStyle w:val="36"/>
          <w:sz w:val="28"/>
          <w:szCs w:val="28"/>
        </w:rPr>
      </w:pPr>
      <w:bookmarkStart w:id="63" w:name="_Toc509411474"/>
      <w:bookmarkStart w:id="64" w:name="_Toc509413676"/>
      <w:bookmarkStart w:id="65" w:name="_Toc509411554"/>
      <w:r>
        <w:rPr>
          <w:rStyle w:val="36"/>
          <w:rFonts w:hint="eastAsia"/>
          <w:sz w:val="28"/>
          <w:szCs w:val="28"/>
        </w:rPr>
        <w:t>第五章 供应商质量基本要求</w:t>
      </w:r>
      <w:bookmarkEnd w:id="63"/>
      <w:bookmarkEnd w:id="64"/>
      <w:bookmarkEnd w:id="65"/>
    </w:p>
    <w:p>
      <w:pPr>
        <w:adjustRightInd w:val="0"/>
        <w:snapToGrid w:val="0"/>
        <w:spacing w:line="400" w:lineRule="exact"/>
        <w:ind w:firstLine="420" w:firstLineChars="200"/>
        <w:rPr>
          <w:rFonts w:ascii="宋体" w:hAnsi="宋体" w:cs="宋体"/>
          <w:kern w:val="0"/>
          <w:szCs w:val="21"/>
        </w:rPr>
      </w:pPr>
    </w:p>
    <w:p>
      <w:pPr>
        <w:adjustRightInd w:val="0"/>
        <w:snapToGrid w:val="0"/>
        <w:spacing w:line="400" w:lineRule="exact"/>
        <w:ind w:firstLine="420" w:firstLineChars="200"/>
        <w:rPr>
          <w:rFonts w:ascii="宋体" w:hAnsi="宋体" w:cs="宋体"/>
          <w:color w:val="FF0000"/>
          <w:kern w:val="0"/>
          <w:szCs w:val="21"/>
        </w:rPr>
      </w:pPr>
      <w:bookmarkStart w:id="66" w:name="_Toc509411475"/>
      <w:bookmarkStart w:id="67" w:name="_Toc509411555"/>
      <w:r>
        <w:rPr>
          <w:rFonts w:hint="eastAsia" w:ascii="宋体" w:hAnsi="宋体" w:cs="宋体"/>
          <w:color w:val="FF0000"/>
          <w:kern w:val="0"/>
          <w:szCs w:val="21"/>
        </w:rPr>
        <w:t>（具体条款要求见附件9）</w:t>
      </w:r>
      <w:bookmarkEnd w:id="66"/>
      <w:bookmarkEnd w:id="67"/>
    </w:p>
    <w:p/>
    <w:p>
      <w:pPr>
        <w:overflowPunct w:val="0"/>
        <w:spacing w:line="360" w:lineRule="auto"/>
        <w:jc w:val="center"/>
        <w:outlineLvl w:val="0"/>
        <w:rPr>
          <w:rFonts w:ascii="宋体" w:hAnsi="宋体" w:cs="宋体"/>
          <w:color w:val="FF0000"/>
          <w:kern w:val="0"/>
          <w:szCs w:val="21"/>
        </w:rPr>
      </w:pPr>
    </w:p>
    <w:sectPr>
      <w:footerReference r:id="rId7" w:type="default"/>
      <w:pgSz w:w="11906" w:h="16838"/>
      <w:pgMar w:top="1440" w:right="1800" w:bottom="1440" w:left="1800"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- 11 -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- 15 -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ind w:right="90"/>
    </w:pPr>
    <w:r>
      <w:rPr>
        <w:rFonts w:hint="eastAsia"/>
      </w:rPr>
      <w:t>荣盛盟固利新能源科技有限公司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17</w:t>
    </w:r>
    <w:r>
      <w:fldChar w:fldCharType="end"/>
    </w:r>
    <w:r>
      <w:t xml:space="preserve"> of </w:t>
    </w:r>
    <w:r>
      <w:fldChar w:fldCharType="begin"/>
    </w:r>
    <w:r>
      <w:instrText xml:space="preserve"> NUMPAGES </w:instrText>
    </w:r>
    <w:r>
      <w:fldChar w:fldCharType="separate"/>
    </w:r>
    <w:r>
      <w:t>23</w:t>
    </w:r>
    <w:r>
      <w:fldChar w:fldCharType="end"/>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96A"/>
    <w:multiLevelType w:val="multilevel"/>
    <w:tmpl w:val="07DA59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5B1068"/>
    <w:multiLevelType w:val="multilevel"/>
    <w:tmpl w:val="1C5B1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32"/>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宋体" w:hAnsi="宋体" w:eastAsia="宋体" w:cs="Times New Roman"/>
        <w:b w:val="0"/>
        <w:bCs w:val="0"/>
        <w:i w:val="0"/>
        <w:iCs w:val="0"/>
        <w:caps w:val="0"/>
        <w:strike w:val="0"/>
        <w:dstrike w:val="0"/>
        <w:outline w:val="0"/>
        <w:shadow w:val="0"/>
        <w:spacing w:val="0"/>
        <w:kern w:val="0"/>
        <w:position w:val="0"/>
        <w:sz w:val="24"/>
        <w:szCs w:val="24"/>
        <w:u w:val="none"/>
      </w:rPr>
    </w:lvl>
    <w:lvl w:ilvl="2" w:tentative="0">
      <w:start w:val="1"/>
      <w:numFmt w:val="decimal"/>
      <w:suff w:val="nothing"/>
      <w:lvlText w:val="%1.%2.%3　"/>
      <w:lvlJc w:val="left"/>
      <w:pPr>
        <w:ind w:left="0" w:firstLine="0"/>
      </w:pPr>
      <w:rPr>
        <w:rFonts w:hint="eastAsia" w:ascii="宋体" w:hAnsi="宋体" w:eastAsia="宋体"/>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2A3665"/>
    <w:multiLevelType w:val="multilevel"/>
    <w:tmpl w:val="232A3665"/>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A9E6B8"/>
    <w:multiLevelType w:val="singleLevel"/>
    <w:tmpl w:val="54A9E6B8"/>
    <w:lvl w:ilvl="0" w:tentative="0">
      <w:start w:val="1"/>
      <w:numFmt w:val="decimal"/>
      <w:suff w:val="nothing"/>
      <w:lvlText w:val="%1."/>
      <w:lvlJc w:val="left"/>
    </w:lvl>
  </w:abstractNum>
  <w:abstractNum w:abstractNumId="5">
    <w:nsid w:val="54A9E701"/>
    <w:multiLevelType w:val="singleLevel"/>
    <w:tmpl w:val="54A9E701"/>
    <w:lvl w:ilvl="0" w:tentative="0">
      <w:start w:val="1"/>
      <w:numFmt w:val="decimal"/>
      <w:suff w:val="nothing"/>
      <w:lvlText w:val="%1."/>
      <w:lvlJc w:val="left"/>
    </w:lvl>
  </w:abstractNum>
  <w:abstractNum w:abstractNumId="6">
    <w:nsid w:val="54A9E73A"/>
    <w:multiLevelType w:val="multilevel"/>
    <w:tmpl w:val="54A9E73A"/>
    <w:lvl w:ilvl="0" w:tentative="0">
      <w:start w:val="1"/>
      <w:numFmt w:val="decimal"/>
      <w:suff w:val="nothing"/>
      <w:lvlText w:val="%1."/>
      <w:lvlJc w:val="left"/>
    </w:lvl>
    <w:lvl w:ilvl="1" w:tentative="0">
      <w:start w:val="1"/>
      <w:numFmt w:val="decimal"/>
      <w:isLgl/>
      <w:lvlText w:val="%1.%2"/>
      <w:lvlJc w:val="left"/>
      <w:pPr>
        <w:ind w:left="891" w:hanging="450"/>
      </w:pPr>
      <w:rPr>
        <w:rFonts w:hint="default"/>
      </w:rPr>
    </w:lvl>
    <w:lvl w:ilvl="2" w:tentative="0">
      <w:start w:val="1"/>
      <w:numFmt w:val="decimal"/>
      <w:isLgl/>
      <w:lvlText w:val="%1.%2.%3"/>
      <w:lvlJc w:val="left"/>
      <w:pPr>
        <w:ind w:left="1602" w:hanging="720"/>
      </w:pPr>
      <w:rPr>
        <w:rFonts w:hint="default"/>
      </w:rPr>
    </w:lvl>
    <w:lvl w:ilvl="3" w:tentative="0">
      <w:start w:val="1"/>
      <w:numFmt w:val="decimal"/>
      <w:isLgl/>
      <w:lvlText w:val="%1.%2.%3.%4"/>
      <w:lvlJc w:val="left"/>
      <w:pPr>
        <w:ind w:left="2403" w:hanging="1080"/>
      </w:pPr>
      <w:rPr>
        <w:rFonts w:hint="default"/>
      </w:rPr>
    </w:lvl>
    <w:lvl w:ilvl="4" w:tentative="0">
      <w:start w:val="1"/>
      <w:numFmt w:val="decimal"/>
      <w:isLgl/>
      <w:lvlText w:val="%1.%2.%3.%4.%5"/>
      <w:lvlJc w:val="left"/>
      <w:pPr>
        <w:ind w:left="2844" w:hanging="1080"/>
      </w:pPr>
      <w:rPr>
        <w:rFonts w:hint="default"/>
      </w:rPr>
    </w:lvl>
    <w:lvl w:ilvl="5" w:tentative="0">
      <w:start w:val="1"/>
      <w:numFmt w:val="decimal"/>
      <w:isLgl/>
      <w:lvlText w:val="%1.%2.%3.%4.%5.%6"/>
      <w:lvlJc w:val="left"/>
      <w:pPr>
        <w:ind w:left="3645" w:hanging="1440"/>
      </w:pPr>
      <w:rPr>
        <w:rFonts w:hint="default"/>
      </w:rPr>
    </w:lvl>
    <w:lvl w:ilvl="6" w:tentative="0">
      <w:start w:val="1"/>
      <w:numFmt w:val="decimal"/>
      <w:isLgl/>
      <w:lvlText w:val="%1.%2.%3.%4.%5.%6.%7"/>
      <w:lvlJc w:val="left"/>
      <w:pPr>
        <w:ind w:left="4086" w:hanging="1440"/>
      </w:pPr>
      <w:rPr>
        <w:rFonts w:hint="default"/>
      </w:rPr>
    </w:lvl>
    <w:lvl w:ilvl="7" w:tentative="0">
      <w:start w:val="1"/>
      <w:numFmt w:val="decimal"/>
      <w:isLgl/>
      <w:lvlText w:val="%1.%2.%3.%4.%5.%6.%7.%8"/>
      <w:lvlJc w:val="left"/>
      <w:pPr>
        <w:ind w:left="4887" w:hanging="1800"/>
      </w:pPr>
      <w:rPr>
        <w:rFonts w:hint="default"/>
      </w:rPr>
    </w:lvl>
    <w:lvl w:ilvl="8" w:tentative="0">
      <w:start w:val="1"/>
      <w:numFmt w:val="decimal"/>
      <w:isLgl/>
      <w:lvlText w:val="%1.%2.%3.%4.%5.%6.%7.%8.%9"/>
      <w:lvlJc w:val="left"/>
      <w:pPr>
        <w:ind w:left="5688" w:hanging="2160"/>
      </w:pPr>
      <w:rPr>
        <w:rFonts w:hint="default"/>
      </w:rPr>
    </w:lvl>
  </w:abstractNum>
  <w:abstractNum w:abstractNumId="7">
    <w:nsid w:val="69763167"/>
    <w:multiLevelType w:val="multilevel"/>
    <w:tmpl w:val="69763167"/>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8D5695"/>
    <w:multiLevelType w:val="multilevel"/>
    <w:tmpl w:val="7A8D56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0"/>
  </w:num>
  <w:num w:numId="4">
    <w:abstractNumId w:val="1"/>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8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2428E5"/>
    <w:rsid w:val="0C722F56"/>
    <w:rsid w:val="0F166B1E"/>
    <w:rsid w:val="10256295"/>
    <w:rsid w:val="13D856C0"/>
    <w:rsid w:val="15AC2DD0"/>
    <w:rsid w:val="1E9E2732"/>
    <w:rsid w:val="292054AD"/>
    <w:rsid w:val="2B3702E2"/>
    <w:rsid w:val="349B48C9"/>
    <w:rsid w:val="37C97DD5"/>
    <w:rsid w:val="3AB77DE7"/>
    <w:rsid w:val="45D9069B"/>
    <w:rsid w:val="47866BA0"/>
    <w:rsid w:val="48DC278C"/>
    <w:rsid w:val="4B1C7F61"/>
    <w:rsid w:val="5704070E"/>
    <w:rsid w:val="5B092814"/>
    <w:rsid w:val="5E060AAE"/>
    <w:rsid w:val="61F17EB8"/>
    <w:rsid w:val="63AB3365"/>
    <w:rsid w:val="66232CFE"/>
    <w:rsid w:val="6AC44A79"/>
    <w:rsid w:val="7A935D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6" w:lineRule="auto"/>
      <w:outlineLvl w:val="0"/>
    </w:pPr>
    <w:rPr>
      <w:b/>
      <w:kern w:val="44"/>
      <w:sz w:val="44"/>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adjustRightInd w:val="0"/>
      <w:ind w:firstLine="420"/>
      <w:jc w:val="left"/>
      <w:textAlignment w:val="baseline"/>
    </w:pPr>
    <w:rPr>
      <w:sz w:val="24"/>
    </w:rPr>
  </w:style>
  <w:style w:type="paragraph" w:styleId="5">
    <w:name w:val="annotation text"/>
    <w:basedOn w:val="1"/>
    <w:link w:val="39"/>
    <w:qFormat/>
    <w:uiPriority w:val="99"/>
    <w:pPr>
      <w:jc w:val="left"/>
    </w:pPr>
    <w:rPr>
      <w:szCs w:val="20"/>
    </w:rPr>
  </w:style>
  <w:style w:type="paragraph" w:styleId="6">
    <w:name w:val="Body Text"/>
    <w:basedOn w:val="1"/>
    <w:qFormat/>
    <w:uiPriority w:val="0"/>
    <w:pPr>
      <w:spacing w:after="120"/>
    </w:pPr>
  </w:style>
  <w:style w:type="paragraph" w:styleId="7">
    <w:name w:val="Body Text Indent"/>
    <w:basedOn w:val="1"/>
    <w:unhideWhenUsed/>
    <w:qFormat/>
    <w:uiPriority w:val="99"/>
    <w:pPr>
      <w:spacing w:line="480" w:lineRule="auto"/>
      <w:ind w:firstLine="480" w:firstLineChars="200"/>
    </w:pPr>
    <w:rPr>
      <w:sz w:val="24"/>
    </w:rPr>
  </w:style>
  <w:style w:type="paragraph" w:styleId="8">
    <w:name w:val="toc 5"/>
    <w:basedOn w:val="1"/>
    <w:next w:val="1"/>
    <w:qFormat/>
    <w:uiPriority w:val="0"/>
    <w:pPr>
      <w:ind w:left="1680" w:leftChars="800"/>
    </w:pPr>
  </w:style>
  <w:style w:type="paragraph" w:styleId="9">
    <w:name w:val="toc 3"/>
    <w:basedOn w:val="1"/>
    <w:next w:val="1"/>
    <w:link w:val="34"/>
    <w:qFormat/>
    <w:uiPriority w:val="0"/>
    <w:pPr>
      <w:ind w:left="840" w:leftChars="400"/>
    </w:pPr>
  </w:style>
  <w:style w:type="paragraph" w:styleId="10">
    <w:name w:val="Plain Text"/>
    <w:basedOn w:val="1"/>
    <w:qFormat/>
    <w:uiPriority w:val="0"/>
    <w:rPr>
      <w:rFonts w:ascii="宋体" w:hAnsi="Courier New"/>
    </w:rPr>
  </w:style>
  <w:style w:type="paragraph" w:styleId="11">
    <w:name w:val="toc 8"/>
    <w:basedOn w:val="1"/>
    <w:next w:val="1"/>
    <w:qFormat/>
    <w:uiPriority w:val="0"/>
    <w:pPr>
      <w:ind w:left="2940" w:leftChars="1400"/>
    </w:pPr>
  </w:style>
  <w:style w:type="paragraph" w:styleId="12">
    <w:name w:val="Date"/>
    <w:basedOn w:val="1"/>
    <w:next w:val="1"/>
    <w:qFormat/>
    <w:uiPriority w:val="0"/>
    <w:rPr>
      <w:rFonts w:ascii="宋体" w:hAnsi="宋体"/>
      <w:sz w:val="24"/>
    </w:rPr>
  </w:style>
  <w:style w:type="paragraph" w:styleId="13">
    <w:name w:val="Body Text Indent 2"/>
    <w:basedOn w:val="1"/>
    <w:qFormat/>
    <w:uiPriority w:val="0"/>
    <w:pPr>
      <w:spacing w:line="360" w:lineRule="auto"/>
      <w:ind w:firstLine="501" w:firstLineChars="213"/>
    </w:pPr>
    <w:rPr>
      <w:rFonts w:ascii="宋体"/>
      <w:sz w:val="24"/>
    </w:rPr>
  </w:style>
  <w:style w:type="paragraph" w:styleId="14">
    <w:name w:val="Balloon Text"/>
    <w:basedOn w:val="1"/>
    <w:link w:val="38"/>
    <w:semiHidden/>
    <w:unhideWhenUsed/>
    <w:qFormat/>
    <w:uiPriority w:val="99"/>
    <w:rPr>
      <w:sz w:val="18"/>
      <w:szCs w:val="18"/>
    </w:rPr>
  </w:style>
  <w:style w:type="paragraph" w:styleId="15">
    <w:name w:val="footer"/>
    <w:basedOn w:val="1"/>
    <w:link w:val="37"/>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link w:val="33"/>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semiHidden/>
    <w:unhideWhenUsed/>
    <w:qFormat/>
    <w:uiPriority w:val="99"/>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240" w:after="0" w:line="259" w:lineRule="auto"/>
      <w:jc w:val="left"/>
      <w:outlineLvl w:val="9"/>
    </w:pPr>
    <w:rPr>
      <w:rFonts w:ascii="Cambria" w:hAnsi="Cambria" w:cs="黑体"/>
      <w:b w:val="0"/>
      <w:color w:val="365F90"/>
      <w:kern w:val="0"/>
      <w:sz w:val="32"/>
      <w:szCs w:val="32"/>
    </w:rPr>
  </w:style>
  <w:style w:type="paragraph" w:customStyle="1" w:styleId="31">
    <w:name w:val="p0"/>
    <w:basedOn w:val="1"/>
    <w:qFormat/>
    <w:uiPriority w:val="0"/>
    <w:pPr>
      <w:widowControl/>
    </w:pPr>
    <w:rPr>
      <w:kern w:val="0"/>
      <w:szCs w:val="21"/>
    </w:rPr>
  </w:style>
  <w:style w:type="paragraph" w:customStyle="1" w:styleId="32">
    <w:name w:val="章标题"/>
    <w:next w:val="1"/>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character" w:customStyle="1" w:styleId="33">
    <w:name w:val="目录 1 Char"/>
    <w:link w:val="17"/>
    <w:qFormat/>
    <w:uiPriority w:val="0"/>
  </w:style>
  <w:style w:type="character" w:customStyle="1" w:styleId="34">
    <w:name w:val="目录 3 Char"/>
    <w:link w:val="9"/>
    <w:qFormat/>
    <w:uiPriority w:val="0"/>
  </w:style>
  <w:style w:type="character" w:customStyle="1" w:styleId="35">
    <w:name w:val="black21"/>
    <w:qFormat/>
    <w:uiPriority w:val="0"/>
    <w:rPr>
      <w:color w:val="000000"/>
      <w:sz w:val="21"/>
      <w:szCs w:val="21"/>
      <w:u w:val="none"/>
    </w:rPr>
  </w:style>
  <w:style w:type="character" w:customStyle="1" w:styleId="36">
    <w:name w:val="标题 1 Char"/>
    <w:link w:val="2"/>
    <w:qFormat/>
    <w:uiPriority w:val="0"/>
    <w:rPr>
      <w:b/>
      <w:kern w:val="44"/>
      <w:sz w:val="44"/>
    </w:rPr>
  </w:style>
  <w:style w:type="character" w:customStyle="1" w:styleId="37">
    <w:name w:val="页脚 Char"/>
    <w:link w:val="15"/>
    <w:qFormat/>
    <w:uiPriority w:val="0"/>
    <w:rPr>
      <w:kern w:val="2"/>
      <w:sz w:val="18"/>
      <w:szCs w:val="18"/>
    </w:rPr>
  </w:style>
  <w:style w:type="character" w:customStyle="1" w:styleId="38">
    <w:name w:val="批注框文本 Char"/>
    <w:link w:val="14"/>
    <w:semiHidden/>
    <w:qFormat/>
    <w:uiPriority w:val="99"/>
    <w:rPr>
      <w:kern w:val="2"/>
      <w:sz w:val="18"/>
      <w:szCs w:val="18"/>
    </w:rPr>
  </w:style>
  <w:style w:type="character" w:customStyle="1" w:styleId="39">
    <w:name w:val="批注文字 Char"/>
    <w:link w:val="5"/>
    <w:qFormat/>
    <w:uiPriority w:val="99"/>
    <w:rPr>
      <w:kern w:val="2"/>
      <w:sz w:val="21"/>
    </w:rPr>
  </w:style>
  <w:style w:type="paragraph" w:styleId="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1778</Words>
  <Characters>10136</Characters>
  <Lines>84</Lines>
  <Paragraphs>23</Paragraphs>
  <TotalTime>39</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2018-03-12T08:54:00Z</dcterms:created>
  <dc:creator>zgy2010</dc:creator>
  <cp:lastModifiedBy>lishun</cp:lastModifiedBy>
  <dcterms:modified xsi:type="dcterms:W3CDTF">2020-11-19T01:08:20Z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